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5E0F"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4531E2E">
      <w:pPr>
        <w:pStyle w:val="3"/>
        <w:spacing w:line="24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val="en-US" w:eastAsia="zh-CN"/>
        </w:rPr>
        <w:t>2025年中山市南朗医院工会会员春游活动服务采购项目用户需求</w:t>
      </w:r>
    </w:p>
    <w:p w14:paraId="23BAC8B9">
      <w:pPr>
        <w:pStyle w:val="3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</w:p>
    <w:p w14:paraId="25AB364F">
      <w:pPr>
        <w:pStyle w:val="3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一、项目概况：</w:t>
      </w:r>
    </w:p>
    <w:p w14:paraId="573D9A67">
      <w:pPr>
        <w:pStyle w:val="3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1.项目预算：108,900.00元（具体采购金额以实际需求人数×人均报价单价为准）。投标报价不得超出项目预算限价，否则视为无效。</w:t>
      </w:r>
    </w:p>
    <w:p w14:paraId="1DCD5745">
      <w:pPr>
        <w:pStyle w:val="3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2.本项目不接受备选方案，投标文件的报价只允许有一个报价，采购人不接受有任何选择的报价。</w:t>
      </w:r>
    </w:p>
    <w:p w14:paraId="09CBE032">
      <w:pPr>
        <w:pStyle w:val="3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3.中标人负责招标文件对中标人要求的一切事宜及责任，采购人不再承担任何费用。</w:t>
      </w:r>
    </w:p>
    <w:p w14:paraId="6E1608DD">
      <w:pPr>
        <w:pStyle w:val="3"/>
        <w:spacing w:line="360" w:lineRule="auto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4.未经采购人允许，中标人不得以任何方式转包或分包本项目，中标人未经采购人书面同意转包或分包本项目则视为严重违约。</w:t>
      </w:r>
    </w:p>
    <w:p w14:paraId="04A169A0">
      <w:pPr>
        <w:pStyle w:val="3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二、采购需求：</w:t>
      </w:r>
    </w:p>
    <w:p w14:paraId="6A8866C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1.数量：363人（具体数量以实际需求为准）</w:t>
      </w:r>
    </w:p>
    <w:p w14:paraId="25B6090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2.预算：人均300元/人</w:t>
      </w:r>
    </w:p>
    <w:p w14:paraId="467D1F9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3.出游需求：</w:t>
      </w:r>
    </w:p>
    <w:p w14:paraId="27BDF20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（1）行程安排（中山—深圳—中山）</w:t>
      </w:r>
    </w:p>
    <w:p w14:paraId="2510D096">
      <w:pPr>
        <w:pStyle w:val="14"/>
        <w:spacing w:before="135" w:line="360" w:lineRule="auto"/>
        <w:ind w:left="744" w:right="104" w:hanging="63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早上：中山于指定时间、地点集中；由导游带领乘车前往深圳</w:t>
      </w:r>
      <w:r>
        <w:rPr>
          <w:rFonts w:hint="eastAsia" w:ascii="仿宋_GB2312" w:hAnsi="仿宋_GB2312" w:eastAsia="仿宋_GB2312" w:cs="仿宋_GB2312"/>
          <w:color w:val="FF0000"/>
          <w:spacing w:val="7"/>
          <w:sz w:val="28"/>
          <w:szCs w:val="28"/>
        </w:rPr>
        <w:t>（车程约1.5小时</w:t>
      </w:r>
      <w:r>
        <w:rPr>
          <w:rFonts w:hint="eastAsia" w:ascii="仿宋_GB2312" w:hAnsi="仿宋_GB2312" w:eastAsia="仿宋_GB2312" w:cs="仿宋_GB2312"/>
          <w:color w:val="FF0000"/>
          <w:spacing w:val="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路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上车观世界综合建设难度最高的跨海集群工程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10"/>
          <w:sz w:val="28"/>
          <w:szCs w:val="28"/>
          <w:u w:val="single"/>
        </w:rPr>
        <w:t>【深中通道】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，体验耗资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460亿打造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大湾区超级工程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深中通道，穿越世界最高的海上大桥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伶仃洋跨海大桥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、世界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上最宽的海底沉管隧道、“海上风筝”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东、西人工岛。</w:t>
      </w:r>
    </w:p>
    <w:p w14:paraId="19D97D3F">
      <w:pPr>
        <w:pStyle w:val="14"/>
        <w:spacing w:before="25" w:line="360" w:lineRule="auto"/>
        <w:ind w:left="741" w:right="33" w:hanging="628"/>
        <w:rPr>
          <w:rFonts w:hint="eastAsia"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上午：抵达后游览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4"/>
          <w:sz w:val="28"/>
          <w:szCs w:val="28"/>
          <w:u w:val="single"/>
        </w:rPr>
        <w:t>【莲花山公园】</w:t>
      </w:r>
      <w:r>
        <w:rPr>
          <w:rFonts w:hint="eastAsia" w:ascii="仿宋_GB2312" w:hAnsi="仿宋_GB2312" w:eastAsia="仿宋_GB2312" w:cs="仿宋_GB2312"/>
          <w:color w:val="FF0000"/>
          <w:spacing w:val="4"/>
          <w:sz w:val="28"/>
          <w:szCs w:val="28"/>
        </w:rPr>
        <w:t>（游览时间约1小时</w:t>
      </w:r>
      <w:r>
        <w:rPr>
          <w:rFonts w:hint="eastAsia" w:ascii="仿宋_GB2312" w:hAnsi="仿宋_GB2312" w:eastAsia="仿宋_GB2312" w:cs="仿宋_GB2312"/>
          <w:color w:val="FF0000"/>
          <w:spacing w:val="-7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一朵巨大的莲花，盛开在城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中央。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2004年6月，莲花山公园以“莲山春早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”的名义，入选“深圳八景”之一。邓小平铜像广场（也叫山顶广场）位于莲花山主峰之巅，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海拔高度100米，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面积4000平方米，是深圳市最高的室外广场。乘车前往游览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8"/>
          <w:sz w:val="28"/>
          <w:szCs w:val="28"/>
          <w:u w:val="single"/>
        </w:rPr>
        <w:t>【深圳博物馆】</w:t>
      </w:r>
      <w:r>
        <w:rPr>
          <w:rFonts w:hint="eastAsia" w:ascii="仿宋_GB2312" w:hAnsi="仿宋_GB2312" w:eastAsia="仿宋_GB2312" w:cs="仿宋_GB2312"/>
          <w:color w:val="FF0000"/>
          <w:spacing w:val="8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FF0000"/>
          <w:spacing w:val="7"/>
          <w:sz w:val="28"/>
          <w:szCs w:val="28"/>
        </w:rPr>
        <w:t>历史民俗馆，参观时间约1.5小时</w:t>
      </w:r>
      <w:r>
        <w:rPr>
          <w:rFonts w:hint="eastAsia" w:ascii="仿宋_GB2312" w:hAnsi="仿宋_GB2312" w:eastAsia="仿宋_GB2312" w:cs="仿宋_GB2312"/>
          <w:color w:val="FF0000"/>
          <w:spacing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深圳博物馆历史民俗馆是深圳博物馆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的一个分馆，位于深圳市福田区香蜜湖路。主要展示深圳地区的历史文化和民俗风情。馆内展品丰富多样，包括文物、图片、实物等，展示了深圳地区从古代到现代的历史和文化。</w:t>
      </w:r>
    </w:p>
    <w:p w14:paraId="25BCFE2F">
      <w:pPr>
        <w:pStyle w:val="14"/>
        <w:spacing w:before="25" w:line="360" w:lineRule="auto"/>
        <w:ind w:left="741" w:right="33" w:hanging="628"/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午：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乘车前往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8"/>
          <w:sz w:val="28"/>
          <w:szCs w:val="28"/>
          <w:u w:val="single"/>
        </w:rPr>
        <w:t>【四海一家】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享用丰富国际自助餐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  <w:t>。</w:t>
      </w:r>
    </w:p>
    <w:p w14:paraId="3AD54312">
      <w:pPr>
        <w:pStyle w:val="14"/>
        <w:spacing w:before="25" w:line="360" w:lineRule="auto"/>
        <w:ind w:left="741" w:right="33" w:hanging="628"/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午：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乘车前往游览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7"/>
          <w:sz w:val="28"/>
          <w:szCs w:val="28"/>
          <w:u w:val="single"/>
        </w:rPr>
        <w:t>【欢乐港湾】</w:t>
      </w:r>
      <w:r>
        <w:rPr>
          <w:rFonts w:hint="eastAsia" w:ascii="仿宋_GB2312" w:hAnsi="仿宋_GB2312" w:eastAsia="仿宋_GB2312" w:cs="仿宋_GB2312"/>
          <w:color w:val="FF0000"/>
          <w:spacing w:val="7"/>
          <w:sz w:val="28"/>
          <w:szCs w:val="28"/>
        </w:rPr>
        <w:t>（游览时间约1.5小时</w:t>
      </w:r>
      <w:r>
        <w:rPr>
          <w:rFonts w:hint="eastAsia" w:ascii="仿宋_GB2312" w:hAnsi="仿宋_GB2312" w:eastAsia="仿宋_GB2312" w:cs="仿宋_GB2312"/>
          <w:color w:val="FF0000"/>
          <w:spacing w:val="2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坐落于深圳市宝安中心区南部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滨海地带，是华侨城集团集合36年城市运营经验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打造的新一代文旅综合体产品。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观看高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128m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5"/>
          <w:sz w:val="28"/>
          <w:szCs w:val="28"/>
          <w:u w:val="single"/>
        </w:rPr>
        <w:t>【“湾区之光”摩天轮】</w:t>
      </w:r>
      <w:r>
        <w:rPr>
          <w:rFonts w:hint="eastAsia" w:ascii="仿宋_GB2312" w:hAnsi="仿宋_GB2312" w:eastAsia="仿宋_GB2312" w:cs="仿宋_GB2312"/>
          <w:color w:val="FF0000"/>
          <w:spacing w:val="5"/>
          <w:sz w:val="28"/>
          <w:szCs w:val="28"/>
        </w:rPr>
        <w:t>（外观，乘坐自费）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，目前深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圳最大的摩天轮，128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米高，共有28节桥厢，目前国内最大全天景回转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式轿厢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游毕集中乘车返回中山</w:t>
      </w:r>
      <w:r>
        <w:rPr>
          <w:rFonts w:hint="eastAsia" w:ascii="仿宋_GB2312" w:hAnsi="仿宋_GB2312" w:eastAsia="仿宋_GB2312" w:cs="仿宋_GB2312"/>
          <w:color w:val="FF0000"/>
          <w:spacing w:val="8"/>
          <w:sz w:val="28"/>
          <w:szCs w:val="28"/>
        </w:rPr>
        <w:t>（车程约2小时</w:t>
      </w:r>
      <w:r>
        <w:rPr>
          <w:rFonts w:hint="eastAsia" w:ascii="仿宋_GB2312" w:hAnsi="仿宋_GB2312" w:eastAsia="仿宋_GB2312" w:cs="仿宋_GB2312"/>
          <w:color w:val="FF0000"/>
          <w:spacing w:val="14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送回贵单位，结束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行程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  <w:t>。</w:t>
      </w:r>
    </w:p>
    <w:p w14:paraId="6787E600">
      <w:pPr>
        <w:pStyle w:val="14"/>
        <w:spacing w:before="25" w:line="360" w:lineRule="auto"/>
        <w:ind w:left="741" w:right="33" w:hanging="628"/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</w:pPr>
    </w:p>
    <w:p w14:paraId="2DA29DB6">
      <w:pPr>
        <w:pStyle w:val="3"/>
        <w:spacing w:line="360" w:lineRule="auto"/>
        <w:ind w:left="135"/>
        <w:rPr>
          <w:rFonts w:hint="eastAsia" w:ascii="仿宋_GB2312" w:hAnsi="仿宋_GB2312" w:eastAsia="仿宋_GB2312" w:cs="仿宋_GB2312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28"/>
          <w:lang w:val="en-US" w:eastAsia="zh-CN"/>
        </w:rPr>
        <w:t>（2）行程包含</w:t>
      </w:r>
    </w:p>
    <w:p w14:paraId="5CE6C884">
      <w:pPr>
        <w:pStyle w:val="3"/>
        <w:spacing w:line="360" w:lineRule="auto"/>
        <w:ind w:left="13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1、交通：全程空调旅游车（一人一座）。</w:t>
      </w:r>
    </w:p>
    <w:p w14:paraId="54668323">
      <w:pPr>
        <w:pStyle w:val="14"/>
        <w:spacing w:before="65" w:line="360" w:lineRule="auto"/>
        <w:ind w:left="1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2、用餐：早餐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午餐：√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自助午餐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）、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晚餐：×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；</w:t>
      </w:r>
    </w:p>
    <w:p w14:paraId="652D37E2">
      <w:pPr>
        <w:pStyle w:val="3"/>
        <w:spacing w:before="27" w:line="360" w:lineRule="auto"/>
        <w:ind w:left="12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3、门票：景区首道大门票（不含景点园中园门票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）；</w:t>
      </w:r>
    </w:p>
    <w:p w14:paraId="1F078FA8">
      <w:pPr>
        <w:pStyle w:val="3"/>
        <w:spacing w:before="24" w:line="360" w:lineRule="auto"/>
        <w:ind w:left="11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4、导游：全程优秀导游服务；</w:t>
      </w:r>
    </w:p>
    <w:p w14:paraId="6DE4A446">
      <w:pPr>
        <w:pStyle w:val="3"/>
        <w:spacing w:before="27" w:line="360" w:lineRule="auto"/>
        <w:ind w:left="12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5、保险：含旅行社责任保险、个人旅游意外保险；</w:t>
      </w:r>
    </w:p>
    <w:p w14:paraId="32A8CB2C">
      <w:pPr>
        <w:pStyle w:val="3"/>
        <w:spacing w:before="25" w:line="360" w:lineRule="auto"/>
        <w:ind w:left="1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6、赠品：矿泉水、横幅、出发早点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早餐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。</w:t>
      </w:r>
    </w:p>
    <w:p w14:paraId="1E42226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三、付款方式</w:t>
      </w:r>
    </w:p>
    <w:p w14:paraId="6E45BE57">
      <w:pPr>
        <w:pStyle w:val="3"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项目服务全部完成后，供应商开具有效全额发票，在收到发票后30个日历日内支付合同款项的全部金额。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16D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C26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C26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B23B6F"/>
    <w:rsid w:val="001475D3"/>
    <w:rsid w:val="0038336D"/>
    <w:rsid w:val="004869B5"/>
    <w:rsid w:val="00730DB5"/>
    <w:rsid w:val="007964A3"/>
    <w:rsid w:val="008E5460"/>
    <w:rsid w:val="00B23B6F"/>
    <w:rsid w:val="09563C51"/>
    <w:rsid w:val="168E1FC7"/>
    <w:rsid w:val="1D585927"/>
    <w:rsid w:val="1D840937"/>
    <w:rsid w:val="1FAF3A48"/>
    <w:rsid w:val="21FA3E69"/>
    <w:rsid w:val="28C22628"/>
    <w:rsid w:val="2A4B56ED"/>
    <w:rsid w:val="2B263597"/>
    <w:rsid w:val="2F0D224C"/>
    <w:rsid w:val="30E26317"/>
    <w:rsid w:val="31C17074"/>
    <w:rsid w:val="34BE6B67"/>
    <w:rsid w:val="371A7D09"/>
    <w:rsid w:val="3929035F"/>
    <w:rsid w:val="3C280BDB"/>
    <w:rsid w:val="48E6764D"/>
    <w:rsid w:val="55032EF8"/>
    <w:rsid w:val="550477D3"/>
    <w:rsid w:val="5BA010BF"/>
    <w:rsid w:val="5BBD2831"/>
    <w:rsid w:val="5DF63896"/>
    <w:rsid w:val="5F226591"/>
    <w:rsid w:val="63541056"/>
    <w:rsid w:val="638F1A75"/>
    <w:rsid w:val="683B6C58"/>
    <w:rsid w:val="685F17CD"/>
    <w:rsid w:val="6D6F3038"/>
    <w:rsid w:val="6E5B0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1"/>
    <w:pPr>
      <w:spacing w:before="70"/>
      <w:ind w:left="101"/>
      <w:outlineLvl w:val="2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</w:style>
  <w:style w:type="paragraph" w:styleId="4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"/>
    <w:basedOn w:val="7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1048</Words>
  <Characters>1095</Characters>
  <Lines>6</Lines>
  <Paragraphs>1</Paragraphs>
  <TotalTime>1</TotalTime>
  <ScaleCrop>false</ScaleCrop>
  <LinksUpToDate>false</LinksUpToDate>
  <CharactersWithSpaces>1095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2019-12-04T08:21:00Z</dcterms:created>
  <dc:creator>Sky123.Org</dc:creator>
  <cp:lastModifiedBy>☁Wennnn</cp:lastModifiedBy>
  <cp:lastPrinted>2025-03-11T09:08:28Z</cp:lastPrinted>
  <dcterms:modified xsi:type="dcterms:W3CDTF">2025-03-11T09:12:20Z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9CBD6308FA174545A7693E9463E55A7A_13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