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left"/>
        <w:rPr>
          <w:rFonts w:hint="default" w:eastAsia="宋体"/>
          <w:b/>
          <w:bCs/>
          <w:color w:val="000000"/>
          <w:sz w:val="32"/>
          <w:szCs w:val="32"/>
          <w:highlight w:val="none"/>
          <w:lang w:val="en-US" w:eastAsia="zh-CN"/>
        </w:rPr>
      </w:pPr>
      <w:bookmarkStart w:id="0" w:name="_Toc10203"/>
      <w:r>
        <w:rPr>
          <w:rFonts w:hint="eastAsia"/>
          <w:b/>
          <w:bCs/>
          <w:color w:val="000000"/>
          <w:sz w:val="32"/>
          <w:szCs w:val="32"/>
          <w:highlight w:val="none"/>
          <w:lang w:val="en-US" w:eastAsia="zh-CN"/>
        </w:rPr>
        <w:t>附件1：</w:t>
      </w:r>
    </w:p>
    <w:p>
      <w:pPr>
        <w:snapToGrid w:val="0"/>
        <w:spacing w:line="460" w:lineRule="exact"/>
        <w:jc w:val="center"/>
        <w:rPr>
          <w:highlight w:val="none"/>
        </w:rPr>
      </w:pPr>
      <w:r>
        <w:rPr>
          <w:rFonts w:hint="eastAsia"/>
          <w:b/>
          <w:bCs/>
          <w:color w:val="000000"/>
          <w:sz w:val="32"/>
          <w:szCs w:val="32"/>
          <w:highlight w:val="none"/>
          <w:lang w:val="zh-CN"/>
        </w:rPr>
        <w:t>用户需求书</w:t>
      </w:r>
    </w:p>
    <w:p>
      <w:pPr>
        <w:pStyle w:val="11"/>
        <w:spacing w:line="240" w:lineRule="auto"/>
        <w:jc w:val="both"/>
        <w:rPr>
          <w:rFonts w:ascii="宋体" w:hAnsi="Arial" w:eastAsia="宋体" w:cs="Arial"/>
          <w:color w:val="auto"/>
          <w:sz w:val="21"/>
          <w:szCs w:val="21"/>
          <w:highlight w:val="none"/>
        </w:rPr>
      </w:pPr>
    </w:p>
    <w:bookmarkEnd w:id="0"/>
    <w:p>
      <w:pPr>
        <w:pageBreakBefore w:val="0"/>
        <w:widowControl/>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xml:space="preserve">一、 </w:t>
      </w:r>
      <w:r>
        <w:rPr>
          <w:rFonts w:hint="eastAsia" w:ascii="宋体" w:hAnsi="宋体" w:eastAsia="宋体" w:cs="宋体"/>
          <w:b/>
          <w:bCs/>
          <w:color w:val="auto"/>
          <w:sz w:val="28"/>
          <w:szCs w:val="28"/>
          <w:highlight w:val="none"/>
          <w:lang w:val="en-US" w:eastAsia="zh-CN"/>
        </w:rPr>
        <w:t>项目概况</w:t>
      </w:r>
    </w:p>
    <w:p>
      <w:pPr>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项目名称：</w:t>
      </w:r>
      <w:bookmarkStart w:id="1" w:name="OLE_LINK11"/>
      <w:r>
        <w:rPr>
          <w:rFonts w:hint="eastAsia" w:ascii="宋体" w:hAnsi="宋体" w:eastAsia="宋体" w:cs="宋体"/>
          <w:color w:val="auto"/>
          <w:sz w:val="28"/>
          <w:szCs w:val="28"/>
          <w:highlight w:val="none"/>
          <w:lang w:val="en-US" w:eastAsia="zh-CN"/>
        </w:rPr>
        <w:t>中山市南朗医院</w:t>
      </w:r>
      <w:r>
        <w:rPr>
          <w:rFonts w:hint="eastAsia" w:ascii="宋体" w:hAnsi="宋体" w:eastAsia="宋体" w:cs="宋体"/>
          <w:color w:val="auto"/>
          <w:sz w:val="28"/>
          <w:szCs w:val="28"/>
          <w:highlight w:val="none"/>
          <w:lang w:eastAsia="zh-CN"/>
        </w:rPr>
        <w:t>2025-2027年度污水处理及环境监测服务项目</w:t>
      </w:r>
      <w:bookmarkEnd w:id="1"/>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2.合同期：自合同签订之日起两年。</w:t>
      </w: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lang w:val="en-US"/>
        </w:rPr>
      </w:pPr>
      <w:r>
        <w:rPr>
          <w:rFonts w:hint="eastAsia" w:ascii="宋体" w:hAnsi="宋体" w:eastAsia="宋体" w:cs="宋体"/>
          <w:color w:val="auto"/>
          <w:sz w:val="28"/>
          <w:szCs w:val="28"/>
          <w:highlight w:val="none"/>
          <w:lang w:val="en-US" w:eastAsia="zh-CN"/>
        </w:rPr>
        <w:t>3.编制床位数：260张。</w:t>
      </w: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4.服务内容及报价要求：</w:t>
      </w:r>
    </w:p>
    <w:tbl>
      <w:tblPr>
        <w:tblStyle w:val="8"/>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4568"/>
        <w:gridCol w:w="818"/>
        <w:gridCol w:w="709"/>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10" w:type="dxa"/>
            <w:vAlign w:val="center"/>
          </w:tcPr>
          <w:p>
            <w:pPr>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4568" w:type="dxa"/>
            <w:vAlign w:val="center"/>
          </w:tcPr>
          <w:p>
            <w:pPr>
              <w:pageBreakBefore w:val="0"/>
              <w:widowControl/>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818" w:type="dxa"/>
            <w:vAlign w:val="center"/>
          </w:tcPr>
          <w:p>
            <w:pPr>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709" w:type="dxa"/>
            <w:vAlign w:val="center"/>
          </w:tcPr>
          <w:p>
            <w:pPr>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839" w:type="dxa"/>
            <w:vAlign w:val="center"/>
          </w:tcPr>
          <w:p>
            <w:pPr>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bookmarkStart w:id="2" w:name="_Hlk196404070"/>
            <w:bookmarkStart w:id="3" w:name="_Hlk196475571"/>
            <w:r>
              <w:rPr>
                <w:rFonts w:hint="eastAsia" w:ascii="宋体" w:hAnsi="宋体" w:eastAsia="宋体" w:cs="宋体"/>
                <w:sz w:val="21"/>
                <w:szCs w:val="21"/>
                <w:highlight w:val="none"/>
              </w:rPr>
              <w:t>1</w:t>
            </w:r>
          </w:p>
        </w:tc>
        <w:tc>
          <w:tcPr>
            <w:tcW w:w="456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污水处理</w:t>
            </w:r>
            <w:r>
              <w:rPr>
                <w:rFonts w:hint="eastAsia" w:ascii="宋体" w:hAnsi="宋体" w:eastAsia="宋体" w:cs="宋体"/>
                <w:sz w:val="21"/>
                <w:szCs w:val="21"/>
                <w:highlight w:val="none"/>
                <w:lang w:val="en-US" w:eastAsia="zh-CN"/>
              </w:rPr>
              <w:t>设备</w:t>
            </w:r>
            <w:r>
              <w:rPr>
                <w:rFonts w:hint="eastAsia" w:ascii="宋体" w:hAnsi="宋体" w:eastAsia="宋体" w:cs="宋体"/>
                <w:sz w:val="21"/>
                <w:szCs w:val="21"/>
                <w:highlight w:val="none"/>
              </w:rPr>
              <w:t>维保+在线监测设备运维</w:t>
            </w:r>
          </w:p>
        </w:tc>
        <w:tc>
          <w:tcPr>
            <w:tcW w:w="81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183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1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56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污水站检测+</w:t>
            </w:r>
            <w:bookmarkStart w:id="4" w:name="OLE_LINK4"/>
            <w:r>
              <w:rPr>
                <w:rFonts w:hint="eastAsia" w:ascii="宋体" w:hAnsi="宋体" w:eastAsia="宋体" w:cs="宋体"/>
                <w:sz w:val="21"/>
                <w:szCs w:val="21"/>
                <w:highlight w:val="none"/>
              </w:rPr>
              <w:t>安装在线监测设备（</w:t>
            </w:r>
            <w:bookmarkStart w:id="5" w:name="OLE_LINK3"/>
            <w:r>
              <w:rPr>
                <w:rFonts w:hint="eastAsia" w:ascii="宋体" w:hAnsi="宋体" w:eastAsia="宋体" w:cs="宋体"/>
                <w:sz w:val="21"/>
                <w:szCs w:val="21"/>
                <w:highlight w:val="none"/>
              </w:rPr>
              <w:t>数据采集仪+超声波流量计+PH计</w:t>
            </w:r>
            <w:bookmarkEnd w:id="5"/>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w:t>
            </w:r>
            <w:bookmarkEnd w:id="4"/>
          </w:p>
        </w:tc>
        <w:tc>
          <w:tcPr>
            <w:tcW w:w="81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183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56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bookmarkStart w:id="6" w:name="OLE_LINK2"/>
            <w:r>
              <w:rPr>
                <w:rFonts w:hint="eastAsia" w:ascii="宋体" w:hAnsi="宋体" w:eastAsia="宋体" w:cs="宋体"/>
                <w:sz w:val="21"/>
                <w:szCs w:val="21"/>
                <w:highlight w:val="none"/>
              </w:rPr>
              <w:t>污水处理活性氧消毒粉</w:t>
            </w:r>
            <w:bookmarkStart w:id="7" w:name="OLE_LINK1"/>
            <w:r>
              <w:rPr>
                <w:rFonts w:hint="eastAsia" w:ascii="宋体" w:hAnsi="宋体" w:eastAsia="宋体" w:cs="宋体"/>
                <w:sz w:val="21"/>
                <w:szCs w:val="21"/>
                <w:highlight w:val="none"/>
              </w:rPr>
              <w:t>（预估1000公斤）</w:t>
            </w:r>
            <w:bookmarkEnd w:id="6"/>
            <w:bookmarkEnd w:id="7"/>
          </w:p>
        </w:tc>
        <w:tc>
          <w:tcPr>
            <w:tcW w:w="81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183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456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办理排污许可证</w:t>
            </w:r>
          </w:p>
        </w:tc>
        <w:tc>
          <w:tcPr>
            <w:tcW w:w="81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次</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83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456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lang w:val="en-US" w:eastAsia="zh-CN" w:bidi="ar-SA"/>
              </w:rPr>
            </w:pPr>
            <w:bookmarkStart w:id="8" w:name="OLE_LINK7"/>
            <w:r>
              <w:rPr>
                <w:rFonts w:hint="eastAsia" w:ascii="宋体" w:hAnsi="宋体" w:eastAsia="宋体" w:cs="宋体"/>
                <w:sz w:val="21"/>
                <w:szCs w:val="21"/>
                <w:highlight w:val="none"/>
              </w:rPr>
              <w:t>全国排污许可证管理信息平台</w:t>
            </w:r>
            <w:bookmarkEnd w:id="8"/>
            <w:r>
              <w:rPr>
                <w:rFonts w:hint="eastAsia" w:ascii="宋体" w:hAnsi="宋体" w:eastAsia="宋体" w:cs="宋体"/>
                <w:sz w:val="21"/>
                <w:szCs w:val="21"/>
                <w:highlight w:val="none"/>
                <w:lang w:val="en-US" w:eastAsia="zh-CN"/>
              </w:rPr>
              <w:t>管理服务（每天上传数据、自行监测方案、监测因子、环境管理台账、执行报告、污水废气检测报告、信息公开等）</w:t>
            </w:r>
          </w:p>
        </w:tc>
        <w:tc>
          <w:tcPr>
            <w:tcW w:w="81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年</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183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p>
        </w:tc>
      </w:tr>
      <w:bookmarkEnd w:id="2"/>
      <w:bookmarkEnd w:id="3"/>
    </w:tbl>
    <w:p>
      <w:pPr>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lang w:val="en-US" w:eastAsia="zh-CN"/>
        </w:rPr>
        <w:t>注：报价应包括包工、包料、排污证办理及证后管理服务费用、包运输、药剂费、检测费、运营服务费、污泥处置费(包括委托第三方费用)、员工的工资及劳保福利（社会保险）等一切可能产生的费用，水电费除外。</w:t>
      </w:r>
    </w:p>
    <w:p>
      <w:pPr>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5.采购人有权在签订合同时对项目方案作适当修改或调整。</w:t>
      </w:r>
    </w:p>
    <w:p>
      <w:pPr>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消毒粉生厂商必须具备有效的《消毒产品生产企业卫生许可证》。（</w:t>
      </w:r>
      <w:r>
        <w:rPr>
          <w:rFonts w:hint="eastAsia" w:ascii="宋体" w:hAnsi="宋体" w:eastAsia="宋体" w:cs="宋体"/>
          <w:sz w:val="28"/>
          <w:szCs w:val="28"/>
          <w:highlight w:val="none"/>
          <w:lang w:eastAsia="zh-CN"/>
        </w:rPr>
        <w:t>响应文件内</w:t>
      </w:r>
      <w:r>
        <w:rPr>
          <w:rFonts w:hint="eastAsia" w:ascii="宋体" w:hAnsi="宋体" w:eastAsia="宋体" w:cs="宋体"/>
          <w:sz w:val="28"/>
          <w:szCs w:val="28"/>
          <w:highlight w:val="none"/>
        </w:rPr>
        <w:t>提供证明资料，复印件加盖公章）</w:t>
      </w:r>
    </w:p>
    <w:p>
      <w:pPr>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7.★消毒粉需是经过全国消毒产品网上备案信息服务平台公示的消毒产品。（</w:t>
      </w:r>
      <w:bookmarkStart w:id="16" w:name="_GoBack"/>
      <w:r>
        <w:rPr>
          <w:rFonts w:hint="eastAsia" w:ascii="宋体" w:hAnsi="宋体" w:eastAsia="宋体" w:cs="宋体"/>
          <w:sz w:val="28"/>
          <w:szCs w:val="28"/>
          <w:highlight w:val="none"/>
          <w:lang w:eastAsia="zh-CN"/>
        </w:rPr>
        <w:t>响应文件内</w:t>
      </w:r>
      <w:bookmarkEnd w:id="16"/>
      <w:r>
        <w:rPr>
          <w:rFonts w:hint="eastAsia" w:ascii="宋体" w:hAnsi="宋体" w:eastAsia="宋体" w:cs="宋体"/>
          <w:sz w:val="28"/>
          <w:szCs w:val="28"/>
          <w:highlight w:val="none"/>
          <w:lang w:val="en-US" w:eastAsia="zh-CN"/>
        </w:rPr>
        <w:t>提供备案公示截图，复印件加盖公章）</w:t>
      </w:r>
    </w:p>
    <w:p>
      <w:pPr>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560"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sz w:val="28"/>
          <w:szCs w:val="28"/>
          <w:highlight w:val="none"/>
          <w:lang w:val="en-US" w:eastAsia="zh-CN"/>
        </w:rPr>
        <w:t>8.未经采购人同意，成交供应商不得再以任何方式转包或分包本项目。</w:t>
      </w:r>
    </w:p>
    <w:p>
      <w:pPr>
        <w:pageBreakBefore w:val="0"/>
        <w:widowControl/>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二、货物要求</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1.消毒粉物理性能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bookmarkStart w:id="9" w:name="OLE_LINK8"/>
      <w:r>
        <w:rPr>
          <w:rFonts w:hint="eastAsia" w:ascii="宋体" w:hAnsi="宋体" w:eastAsia="宋体" w:cs="宋体"/>
          <w:color w:val="auto"/>
          <w:sz w:val="28"/>
          <w:szCs w:val="28"/>
          <w:highlight w:val="none"/>
          <w:lang w:val="en-US" w:eastAsia="zh-CN"/>
        </w:rPr>
        <w:t>（1）</w:t>
      </w:r>
      <w:bookmarkEnd w:id="9"/>
      <w:r>
        <w:rPr>
          <w:rFonts w:hint="eastAsia" w:ascii="宋体" w:hAnsi="宋体" w:eastAsia="宋体" w:cs="宋体"/>
          <w:color w:val="auto"/>
          <w:sz w:val="28"/>
          <w:szCs w:val="28"/>
          <w:highlight w:val="none"/>
          <w:lang w:val="en-US" w:eastAsia="zh-CN"/>
        </w:rPr>
        <w:t>主要成分为单过硫酸氢钾复合盐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）性状：白色粉末或颗粒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）气味：无刺激性气味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）溶解性：易溶于水</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）密度：0.7-0.9</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）活性氧含量：大于或等于10%</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）稳定性：有效期常温储存大于或等于24个月</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2.使用方法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溶解成1%-2%的溶液。</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（例200L自动投加装置：取消毒粉2kg加入到溶解槽内，加入200L水，开机搅拌至溶解完全。则此溶液浓度为1%）</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3.杀菌特点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活性氧浓度大于或等于10%，仅需10-20分钟与水体接触时间即可有效杀灭细菌，72小时长效杀菌。在水体中通过循环链式反应持续产生活性氧【O】，并通过高能活化剂经由链式反应而产生各种高能量、高活性的小分子的自由基、新生态原子氧、氧自由基、次氯酸【HCLO】、羟基自由基【OH-】、过氧化氢【H2O2】、硫酸自由基【SO4−•】等多种活性成分，保持长效杀菌能力。多种活性成分共存，可杀灭病毒，真菌，芽孢杆菌等，不产生有毒有害的致癌、致畸、致突变副产物。</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4.杀菌原理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溶解水后产生各种高能量、高活性的小分子的自由基、活性氧衍生物等过氧化氢的衍生物，能破坏微生物细胞膜的通透性屏障，使细胞内容物流失，丧失能量依赖性膜运输系统的功能，并且可与核酸中金属离子如钙、铁等结合，产生自由·OH基，作用于DNA的磷酸二酯键而导致其断裂。对RNA亦有类似的破坏作用。过硫酸氢钾复合盐作为水处理消毒粉具有很强的氧化能力，可以杀灭水中微生物，去除污水中的有机物，其代谢产物仅使水中的K+、SO24+有少许增加，不会对人类和环境带来影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5.其他要求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（1）消毒粉的包装应完整清洁（无损、无污），非采购人的人为原因而出现货品质量，由中标人负责包换或包退，并承担因此而产生的一切费用。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消毒粉必须是合法正规产品，任何的产品、证照、专利等非采购人原因造成采购人损失的，中标人应承担全部责任。</w:t>
      </w:r>
    </w:p>
    <w:p>
      <w:pPr>
        <w:pStyle w:val="4"/>
        <w:pageBreakBefore w:val="0"/>
        <w:widowControl/>
        <w:numPr>
          <w:ilvl w:val="0"/>
          <w:numId w:val="0"/>
        </w:numPr>
        <w:tabs>
          <w:tab w:val="left" w:pos="840"/>
        </w:tabs>
        <w:kinsoku/>
        <w:wordWrap/>
        <w:overflowPunct/>
        <w:topLinePunct w:val="0"/>
        <w:autoSpaceDE/>
        <w:autoSpaceDN/>
        <w:bidi w:val="0"/>
        <w:adjustRightInd/>
        <w:snapToGrid/>
        <w:spacing w:before="0" w:after="0" w:line="240" w:lineRule="auto"/>
        <w:ind w:left="0" w:leftChars="0"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三、服务要求</w:t>
      </w:r>
    </w:p>
    <w:p>
      <w:pPr>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1.在合同期内免费对污水处理</w:t>
      </w:r>
      <w:bookmarkStart w:id="10" w:name="OLE_LINK6"/>
      <w:r>
        <w:rPr>
          <w:rFonts w:hint="eastAsia" w:ascii="宋体" w:hAnsi="宋体" w:eastAsia="宋体" w:cs="宋体"/>
          <w:color w:val="auto"/>
          <w:sz w:val="28"/>
          <w:szCs w:val="28"/>
          <w:highlight w:val="none"/>
          <w:lang w:val="en-US" w:eastAsia="zh-CN"/>
        </w:rPr>
        <w:t>及检测设备</w:t>
      </w:r>
      <w:bookmarkEnd w:id="10"/>
      <w:r>
        <w:rPr>
          <w:rFonts w:hint="eastAsia" w:ascii="宋体" w:hAnsi="宋体" w:eastAsia="宋体" w:cs="宋体"/>
          <w:color w:val="auto"/>
          <w:sz w:val="28"/>
          <w:szCs w:val="28"/>
          <w:highlight w:val="none"/>
          <w:lang w:val="en-US" w:eastAsia="zh-CN"/>
        </w:rPr>
        <w:t>进行维修、维护、保养及更换（包括：抽水泵、垃圾捕捞机、风机、生物膜、消毒粉投放设备、污水处理管道、数据采集仪、超声波流量计、PH计等）。如果污水及检测设备故障不能在24小时内维修好，需提供备用设备代替，以保证污水处理正常运行。</w:t>
      </w:r>
    </w:p>
    <w:p>
      <w:pPr>
        <w:pStyle w:val="2"/>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rPr>
        <w:t>2.供应商委派机动技术人员进行现场管理，如因设备故障需要紧急维修处理的，供应商在接到院方通知后45分钟内赶到现场解决。供应商对院方现有污水站设施运行进行管理和维护保养，保障设备的正常运行；维修材料500元（含500元）及以下项目由供应商自行负责处理，500元以上的维修和设备更换由采购人承担材料配件费用，供应商给予免费安装工作。</w:t>
      </w:r>
    </w:p>
    <w:p>
      <w:pPr>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3.在合同期内每年提供第三方污水处理后的合格检测报告，按水污染物排放限值，检测项目包括：PH、悬浮物、氨氮、汞、砷、CODcr、BOD5、挥发酚、动植物油、粪大肠菌群（MPN/L)、LAS等。在合同期内</w:t>
      </w:r>
      <w:r>
        <w:rPr>
          <w:rFonts w:hint="eastAsia" w:ascii="宋体" w:hAnsi="宋体" w:eastAsia="宋体" w:cs="宋体"/>
          <w:color w:val="auto"/>
          <w:sz w:val="28"/>
          <w:szCs w:val="28"/>
          <w:highlight w:val="none"/>
          <w:u w:val="none"/>
          <w:lang w:val="en-US" w:eastAsia="zh-CN"/>
        </w:rPr>
        <w:t>免费提供污水处理后的活性氧浓度快速检测</w:t>
      </w:r>
      <w:r>
        <w:rPr>
          <w:rFonts w:hint="eastAsia" w:ascii="宋体" w:hAnsi="宋体" w:eastAsia="宋体" w:cs="宋体"/>
          <w:color w:val="auto"/>
          <w:sz w:val="28"/>
          <w:szCs w:val="28"/>
          <w:highlight w:val="none"/>
          <w:lang w:val="en-US" w:eastAsia="zh-CN"/>
        </w:rPr>
        <w:t>仪器及试剂。</w:t>
      </w:r>
    </w:p>
    <w:p>
      <w:pPr>
        <w:pageBreakBefore w:val="0"/>
        <w:widowControl/>
        <w:numPr>
          <w:ilvl w:val="0"/>
          <w:numId w:val="0"/>
        </w:numPr>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kern w:val="0"/>
          <w:sz w:val="28"/>
          <w:szCs w:val="28"/>
          <w:highlight w:val="none"/>
          <w:lang w:val="en-US" w:eastAsia="zh-CN"/>
        </w:rPr>
        <w:t>4.</w:t>
      </w:r>
      <w:r>
        <w:rPr>
          <w:rFonts w:hint="eastAsia" w:ascii="宋体" w:hAnsi="宋体" w:eastAsia="宋体" w:cs="宋体"/>
          <w:b/>
          <w:bCs/>
          <w:kern w:val="0"/>
          <w:sz w:val="28"/>
          <w:szCs w:val="28"/>
          <w:highlight w:val="none"/>
        </w:rPr>
        <w:t>★</w:t>
      </w:r>
      <w:r>
        <w:rPr>
          <w:rFonts w:hint="eastAsia" w:ascii="宋体" w:hAnsi="宋体" w:eastAsia="宋体" w:cs="宋体"/>
          <w:color w:val="auto"/>
          <w:sz w:val="28"/>
          <w:szCs w:val="28"/>
          <w:highlight w:val="none"/>
          <w:lang w:val="en-US" w:eastAsia="zh-CN"/>
        </w:rPr>
        <w:t>在合同期内根据采购人的</w:t>
      </w:r>
      <w:r>
        <w:rPr>
          <w:rFonts w:hint="eastAsia" w:ascii="宋体" w:hAnsi="宋体" w:eastAsia="宋体" w:cs="宋体"/>
          <w:color w:val="auto"/>
          <w:sz w:val="28"/>
          <w:szCs w:val="28"/>
          <w:highlight w:val="none"/>
          <w:u w:val="none"/>
          <w:lang w:val="en-US" w:eastAsia="zh-CN"/>
        </w:rPr>
        <w:t>需要进行污泥</w:t>
      </w:r>
      <w:r>
        <w:rPr>
          <w:rFonts w:hint="eastAsia" w:ascii="宋体" w:hAnsi="宋体" w:eastAsia="宋体" w:cs="宋体"/>
          <w:color w:val="auto"/>
          <w:sz w:val="28"/>
          <w:szCs w:val="28"/>
          <w:highlight w:val="none"/>
          <w:lang w:val="en-US" w:eastAsia="zh-CN"/>
        </w:rPr>
        <w:t>清理，如参与供应商不具备污泥处理资质，应委托具有资质的第三方公司进行处理。</w:t>
      </w:r>
    </w:p>
    <w:p>
      <w:pPr>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合同期内，根据</w:t>
      </w:r>
      <w:r>
        <w:rPr>
          <w:rFonts w:hint="eastAsia" w:ascii="宋体" w:hAnsi="宋体" w:eastAsia="宋体" w:cs="宋体"/>
          <w:sz w:val="28"/>
          <w:szCs w:val="28"/>
          <w:highlight w:val="none"/>
          <w:lang w:eastAsia="zh-CN"/>
        </w:rPr>
        <w:t>采购单位</w:t>
      </w:r>
      <w:r>
        <w:rPr>
          <w:rFonts w:hint="eastAsia" w:ascii="宋体" w:hAnsi="宋体" w:eastAsia="宋体" w:cs="宋体"/>
          <w:sz w:val="28"/>
          <w:szCs w:val="28"/>
          <w:highlight w:val="none"/>
        </w:rPr>
        <w:t>污水结构变化以及季节变化情况，或根据</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需求，合同期内</w:t>
      </w:r>
      <w:r>
        <w:rPr>
          <w:rFonts w:hint="eastAsia" w:ascii="宋体" w:hAnsi="宋体" w:eastAsia="宋体" w:cs="宋体"/>
          <w:sz w:val="28"/>
          <w:szCs w:val="28"/>
          <w:highlight w:val="none"/>
          <w:lang w:eastAsia="zh-CN"/>
        </w:rPr>
        <w:t>成交供应商</w:t>
      </w:r>
      <w:r>
        <w:rPr>
          <w:rFonts w:hint="eastAsia" w:ascii="宋体" w:hAnsi="宋体" w:eastAsia="宋体" w:cs="宋体"/>
          <w:sz w:val="28"/>
          <w:szCs w:val="28"/>
          <w:highlight w:val="none"/>
        </w:rPr>
        <w:t>免费提供再调试服务，使得在环境和季度变化的情况下，污水按需投加后能够达到出水标准。经投加消毒粉处理后的医院污水必须符合《医疗机构水污染物排放标准》（GB18466-2005）以及《广东省地方标准水污染物排放限值》（DB 44/26—2001）要求。</w:t>
      </w:r>
    </w:p>
    <w:p>
      <w:pPr>
        <w:pStyle w:val="2"/>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供应商需每天完成</w:t>
      </w:r>
      <w:r>
        <w:rPr>
          <w:rFonts w:hint="eastAsia" w:ascii="宋体" w:hAnsi="宋体" w:eastAsia="宋体" w:cs="宋体"/>
          <w:sz w:val="28"/>
          <w:szCs w:val="28"/>
          <w:highlight w:val="none"/>
        </w:rPr>
        <w:t>污水站的系统启动和药剂投放工作，严格按照技术要求进行组织投放定量药物，确保污水处理合格率100%。</w:t>
      </w:r>
    </w:p>
    <w:p>
      <w:pPr>
        <w:pStyle w:val="2"/>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.供应商需每天建立及完善污水站设备设施的台帐，各项台帐需符合环保及上级相关检查部门的检查要求。</w:t>
      </w:r>
    </w:p>
    <w:p>
      <w:pPr>
        <w:pStyle w:val="2"/>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.供应商每月检查各电动设备是否正常，检查污水泵是否堵塞，检查污水泵的浮球，防止失灵。</w:t>
      </w:r>
    </w:p>
    <w:p>
      <w:pPr>
        <w:pStyle w:val="2"/>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.供应商</w:t>
      </w:r>
      <w:r>
        <w:rPr>
          <w:rFonts w:hint="eastAsia" w:ascii="宋体" w:hAnsi="宋体" w:eastAsia="宋体" w:cs="宋体"/>
          <w:sz w:val="28"/>
          <w:szCs w:val="28"/>
          <w:highlight w:val="none"/>
          <w:lang w:val="en-US" w:eastAsia="zh-CN"/>
        </w:rPr>
        <w:t>按时完成</w:t>
      </w:r>
      <w:r>
        <w:rPr>
          <w:rFonts w:hint="eastAsia" w:ascii="宋体" w:hAnsi="宋体" w:eastAsia="宋体" w:cs="宋体"/>
          <w:sz w:val="28"/>
          <w:szCs w:val="28"/>
          <w:highlight w:val="none"/>
        </w:rPr>
        <w:t>巡查工作，记录设备运行情况，做好维保维修记录等。</w:t>
      </w:r>
    </w:p>
    <w:p>
      <w:pPr>
        <w:pStyle w:val="2"/>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.供应商每周对所有设备进行一次例行检修、保养，每月给污水站鼓风机更换一次黄油，半年更换一次机油。</w:t>
      </w:r>
    </w:p>
    <w:p>
      <w:pPr>
        <w:pStyle w:val="2"/>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11</w:t>
      </w:r>
      <w:r>
        <w:rPr>
          <w:rFonts w:hint="eastAsia" w:ascii="宋体" w:hAnsi="宋体" w:eastAsia="宋体" w:cs="宋体"/>
          <w:sz w:val="28"/>
          <w:szCs w:val="28"/>
          <w:highlight w:val="none"/>
        </w:rPr>
        <w:t>.供应商</w:t>
      </w:r>
      <w:bookmarkStart w:id="11" w:name="OLE_LINK5"/>
      <w:r>
        <w:rPr>
          <w:rFonts w:hint="eastAsia" w:ascii="宋体" w:hAnsi="宋体" w:eastAsia="宋体" w:cs="宋体"/>
          <w:sz w:val="28"/>
          <w:szCs w:val="28"/>
          <w:highlight w:val="none"/>
          <w:lang w:val="en-US" w:eastAsia="zh-CN"/>
        </w:rPr>
        <w:t>需按时完成</w:t>
      </w:r>
      <w:bookmarkEnd w:id="11"/>
      <w:r>
        <w:rPr>
          <w:rFonts w:hint="eastAsia" w:ascii="宋体" w:hAnsi="宋体" w:eastAsia="宋体" w:cs="宋体"/>
          <w:sz w:val="28"/>
          <w:szCs w:val="28"/>
          <w:highlight w:val="none"/>
        </w:rPr>
        <w:t>第三方水样的采集、配送工作的监督检查。</w:t>
      </w:r>
    </w:p>
    <w:p>
      <w:pPr>
        <w:pStyle w:val="2"/>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rPr>
        <w:t>.供应商的技术人员必须服从院方的管理和监督。</w:t>
      </w:r>
    </w:p>
    <w:p>
      <w:pPr>
        <w:pStyle w:val="2"/>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.如发生设备故障或突发事件，供应商必须做好应急处理方案及配合，确保污水达标排放。自然灾害、不可抗力的因素除外。</w:t>
      </w:r>
    </w:p>
    <w:p>
      <w:pPr>
        <w:pStyle w:val="2"/>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.供应商需做好职业防护，供应商工作人员发生职业暴露应按医院职业暴露处理报告流程进行处理和上报，发生工伤、计生等劳资纠纷由供应商自行负责，与</w:t>
      </w:r>
      <w:r>
        <w:rPr>
          <w:rFonts w:hint="eastAsia" w:ascii="宋体" w:hAnsi="宋体" w:eastAsia="宋体" w:cs="宋体"/>
          <w:sz w:val="28"/>
          <w:szCs w:val="28"/>
          <w:highlight w:val="none"/>
          <w:lang w:val="en-US" w:eastAsia="zh-CN"/>
        </w:rPr>
        <w:t>采购人</w:t>
      </w:r>
      <w:r>
        <w:rPr>
          <w:rFonts w:hint="eastAsia" w:ascii="宋体" w:hAnsi="宋体" w:eastAsia="宋体" w:cs="宋体"/>
          <w:sz w:val="28"/>
          <w:szCs w:val="28"/>
          <w:highlight w:val="none"/>
        </w:rPr>
        <w:t>无关。</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600" w:firstLineChars="200"/>
        <w:textAlignment w:val="auto"/>
        <w:rPr>
          <w:rFonts w:hint="eastAsia" w:ascii="宋体" w:hAnsi="宋体" w:eastAsia="宋体" w:cs="宋体"/>
          <w:b/>
          <w:sz w:val="28"/>
          <w:szCs w:val="28"/>
          <w:highlight w:val="none"/>
        </w:rPr>
      </w:pPr>
      <w:r>
        <w:rPr>
          <w:rFonts w:hint="eastAsia" w:ascii="宋体" w:hAnsi="宋体" w:eastAsia="宋体" w:cs="宋体"/>
          <w:sz w:val="28"/>
          <w:szCs w:val="28"/>
          <w:highlight w:val="none"/>
          <w:lang w:val="en-US" w:eastAsia="zh-CN"/>
        </w:rPr>
        <w:t>15.</w:t>
      </w:r>
      <w:r>
        <w:rPr>
          <w:rFonts w:hint="eastAsia" w:ascii="宋体" w:hAnsi="宋体" w:eastAsia="宋体" w:cs="宋体"/>
          <w:b/>
          <w:sz w:val="28"/>
          <w:szCs w:val="28"/>
          <w:highlight w:val="none"/>
        </w:rPr>
        <w:t>在线监测设备项目</w:t>
      </w:r>
      <w:r>
        <w:rPr>
          <w:rFonts w:hint="eastAsia" w:ascii="宋体" w:hAnsi="宋体" w:eastAsia="宋体" w:cs="宋体"/>
          <w:b/>
          <w:sz w:val="28"/>
          <w:szCs w:val="28"/>
          <w:highlight w:val="none"/>
          <w:lang w:val="en-US" w:eastAsia="zh-CN"/>
        </w:rPr>
        <w:t>及</w:t>
      </w:r>
      <w:r>
        <w:rPr>
          <w:rFonts w:hint="eastAsia" w:ascii="宋体" w:hAnsi="宋体" w:eastAsia="宋体" w:cs="宋体"/>
          <w:b/>
          <w:sz w:val="28"/>
          <w:szCs w:val="28"/>
          <w:highlight w:val="none"/>
        </w:rPr>
        <w:t>检测报告</w:t>
      </w:r>
    </w:p>
    <w:tbl>
      <w:tblPr>
        <w:tblStyle w:val="8"/>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225"/>
        <w:gridCol w:w="903"/>
        <w:gridCol w:w="1408"/>
        <w:gridCol w:w="1484"/>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24"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225"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污染源类别</w:t>
            </w:r>
          </w:p>
        </w:tc>
        <w:tc>
          <w:tcPr>
            <w:tcW w:w="903"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监测点位</w:t>
            </w:r>
          </w:p>
        </w:tc>
        <w:tc>
          <w:tcPr>
            <w:tcW w:w="1408"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检测</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w:t>
            </w:r>
          </w:p>
        </w:tc>
        <w:tc>
          <w:tcPr>
            <w:tcW w:w="1484"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检测点数及频次</w:t>
            </w:r>
          </w:p>
        </w:tc>
        <w:tc>
          <w:tcPr>
            <w:tcW w:w="3319"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检测次数/年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163"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bookmarkStart w:id="12" w:name="_Hlk198028185"/>
            <w:r>
              <w:rPr>
                <w:rFonts w:hint="eastAsia" w:ascii="宋体" w:hAnsi="宋体" w:eastAsia="宋体" w:cs="宋体"/>
                <w:b/>
                <w:bCs/>
                <w:color w:val="FF0000"/>
                <w:sz w:val="21"/>
                <w:szCs w:val="21"/>
                <w:highlight w:val="none"/>
              </w:rPr>
              <w:t>在线监测设备安装项目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24"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1225" w:type="dxa"/>
            <w:vMerge w:val="restart"/>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废水</w:t>
            </w:r>
          </w:p>
        </w:tc>
        <w:tc>
          <w:tcPr>
            <w:tcW w:w="903" w:type="dxa"/>
            <w:vMerge w:val="restart"/>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污水总排放口</w:t>
            </w:r>
          </w:p>
        </w:tc>
        <w:tc>
          <w:tcPr>
            <w:tcW w:w="1408"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数据采集仪</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联网</w:t>
            </w:r>
          </w:p>
        </w:tc>
        <w:tc>
          <w:tcPr>
            <w:tcW w:w="331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需安装数据采集仪，宽带需由甲方接入污水站。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24"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1225"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p>
        </w:tc>
        <w:tc>
          <w:tcPr>
            <w:tcW w:w="903"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p>
        </w:tc>
        <w:tc>
          <w:tcPr>
            <w:tcW w:w="1408"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超声波流量计</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联网</w:t>
            </w:r>
          </w:p>
        </w:tc>
        <w:tc>
          <w:tcPr>
            <w:tcW w:w="331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无需再检测，需装在线监测设备，现流量计已坏，需更换新的流量计及联网。安装1台流量计，并进行第三方比对和校准，编制验收报告并交环保局验收备案。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24"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1225"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p>
        </w:tc>
        <w:tc>
          <w:tcPr>
            <w:tcW w:w="903"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p>
        </w:tc>
        <w:tc>
          <w:tcPr>
            <w:tcW w:w="1408"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PH</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联网1次/12小时</w:t>
            </w:r>
          </w:p>
        </w:tc>
        <w:tc>
          <w:tcPr>
            <w:tcW w:w="331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无需再检测，需装在线监测设备，现未安装PH计，还需安装PH计及联网。安装1台PH计，并进行第三方比对和校准，编制验收报告并交环保局验收备案。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163"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bookmarkStart w:id="13" w:name="OLE_LINK9"/>
            <w:r>
              <w:rPr>
                <w:rFonts w:hint="eastAsia" w:ascii="宋体" w:hAnsi="宋体" w:eastAsia="宋体" w:cs="宋体"/>
                <w:b/>
                <w:bCs/>
                <w:color w:val="FF0000"/>
                <w:sz w:val="21"/>
                <w:szCs w:val="21"/>
                <w:highlight w:val="none"/>
              </w:rPr>
              <w:t>废气检测项目</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24"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1</w:t>
            </w:r>
          </w:p>
        </w:tc>
        <w:tc>
          <w:tcPr>
            <w:tcW w:w="1225"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废气</w:t>
            </w:r>
          </w:p>
        </w:tc>
        <w:tc>
          <w:tcPr>
            <w:tcW w:w="903"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污水站周界</w:t>
            </w:r>
          </w:p>
        </w:tc>
        <w:tc>
          <w:tcPr>
            <w:tcW w:w="1408"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甲烷、臭气浓度、氨（氨气）、氯气、硫化氢</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1次/1季度</w:t>
            </w:r>
          </w:p>
        </w:tc>
        <w:tc>
          <w:tcPr>
            <w:tcW w:w="331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共4次/1年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163"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bookmarkStart w:id="14" w:name="OLE_LINK10"/>
            <w:r>
              <w:rPr>
                <w:rFonts w:hint="eastAsia" w:ascii="宋体" w:hAnsi="宋体" w:cs="宋体"/>
                <w:b/>
                <w:bCs/>
                <w:color w:val="FF0000"/>
                <w:sz w:val="21"/>
                <w:szCs w:val="21"/>
                <w:highlight w:val="none"/>
                <w:lang w:val="en-US" w:eastAsia="zh-CN"/>
              </w:rPr>
              <w:t>噪声</w:t>
            </w:r>
            <w:r>
              <w:rPr>
                <w:rFonts w:hint="eastAsia" w:ascii="宋体" w:hAnsi="宋体" w:eastAsia="宋体" w:cs="宋体"/>
                <w:b/>
                <w:bCs/>
                <w:color w:val="FF0000"/>
                <w:sz w:val="21"/>
                <w:szCs w:val="21"/>
                <w:highlight w:val="none"/>
              </w:rPr>
              <w:t>检测项目</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24"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1</w:t>
            </w:r>
          </w:p>
        </w:tc>
        <w:tc>
          <w:tcPr>
            <w:tcW w:w="1225"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噪声</w:t>
            </w:r>
          </w:p>
        </w:tc>
        <w:tc>
          <w:tcPr>
            <w:tcW w:w="903"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污水站周界</w:t>
            </w:r>
          </w:p>
        </w:tc>
        <w:tc>
          <w:tcPr>
            <w:tcW w:w="1408"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东、南、西、北</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每季度昼间、夜间1次</w:t>
            </w:r>
          </w:p>
        </w:tc>
        <w:tc>
          <w:tcPr>
            <w:tcW w:w="331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共4次/1年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163"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bookmarkStart w:id="15" w:name="_Hlk198028596"/>
            <w:r>
              <w:rPr>
                <w:rFonts w:hint="eastAsia" w:ascii="宋体" w:hAnsi="宋体" w:cs="宋体"/>
                <w:b/>
                <w:bCs/>
                <w:color w:val="FF0000"/>
                <w:sz w:val="21"/>
                <w:szCs w:val="21"/>
                <w:highlight w:val="none"/>
                <w:lang w:val="en-US" w:eastAsia="zh-CN"/>
              </w:rPr>
              <w:t>废水</w:t>
            </w:r>
            <w:r>
              <w:rPr>
                <w:rFonts w:hint="eastAsia" w:ascii="宋体" w:hAnsi="宋体" w:eastAsia="宋体" w:cs="宋体"/>
                <w:b/>
                <w:bCs/>
                <w:color w:val="FF0000"/>
                <w:sz w:val="21"/>
                <w:szCs w:val="21"/>
                <w:highlight w:val="none"/>
              </w:rPr>
              <w:t>检测项目</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24"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25" w:type="dxa"/>
            <w:vMerge w:val="restart"/>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废水</w:t>
            </w:r>
          </w:p>
        </w:tc>
        <w:tc>
          <w:tcPr>
            <w:tcW w:w="903" w:type="dxa"/>
            <w:vMerge w:val="restart"/>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污水总排放口</w:t>
            </w:r>
          </w:p>
        </w:tc>
        <w:tc>
          <w:tcPr>
            <w:tcW w:w="1408"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悬浮物、化学需氧量</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1次/周</w:t>
            </w:r>
          </w:p>
        </w:tc>
        <w:tc>
          <w:tcPr>
            <w:tcW w:w="331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共54次/1年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24"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25"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p>
        </w:tc>
        <w:tc>
          <w:tcPr>
            <w:tcW w:w="903"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p>
        </w:tc>
        <w:tc>
          <w:tcPr>
            <w:tcW w:w="1408" w:type="dxa"/>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粪大肠菌群</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1次/月</w:t>
            </w:r>
          </w:p>
        </w:tc>
        <w:tc>
          <w:tcPr>
            <w:tcW w:w="331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共12次/1年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24" w:type="dxa"/>
            <w:tcBorders>
              <w:bottom w:val="single" w:color="auto" w:sz="4" w:space="0"/>
            </w:tcBorders>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25" w:type="dxa"/>
            <w:vMerge w:val="continue"/>
            <w:tcBorders>
              <w:bottom w:val="single" w:color="auto" w:sz="4" w:space="0"/>
            </w:tcBorders>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p>
        </w:tc>
        <w:tc>
          <w:tcPr>
            <w:tcW w:w="903" w:type="dxa"/>
            <w:vMerge w:val="continue"/>
            <w:tcBorders>
              <w:bottom w:val="single" w:color="auto" w:sz="4" w:space="0"/>
            </w:tcBorders>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p>
        </w:tc>
        <w:tc>
          <w:tcPr>
            <w:tcW w:w="1408" w:type="dxa"/>
            <w:tcBorders>
              <w:bottom w:val="single" w:color="auto" w:sz="4" w:space="0"/>
            </w:tcBorders>
            <w:vAlign w:val="center"/>
          </w:tcPr>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五日生化需氧量、色度、阴离子表面活性剂、氨氮、石油类、动植物油、总氰化物、挥发酚</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1次/季度</w:t>
            </w:r>
          </w:p>
        </w:tc>
        <w:tc>
          <w:tcPr>
            <w:tcW w:w="331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共4次/1年</w:t>
            </w:r>
          </w:p>
        </w:tc>
      </w:tr>
      <w:bookmarkEnd w:id="15"/>
    </w:tbl>
    <w:p>
      <w:pPr>
        <w:pStyle w:val="2"/>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注：以上项目检测需按检测频次向采购人提交检测报告，并及时在全国排污许可证管理信息平台上传相关数据。</w:t>
      </w:r>
    </w:p>
    <w:p>
      <w:pPr>
        <w:pStyle w:val="4"/>
        <w:pageBreakBefore w:val="0"/>
        <w:widowControl/>
        <w:numPr>
          <w:ilvl w:val="0"/>
          <w:numId w:val="0"/>
        </w:numPr>
        <w:tabs>
          <w:tab w:val="left" w:pos="840"/>
        </w:tabs>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四、付款方式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rPr>
        <w:t>1.合同签订后，</w:t>
      </w:r>
      <w:r>
        <w:rPr>
          <w:rFonts w:hint="eastAsia" w:ascii="宋体" w:hAnsi="宋体" w:eastAsia="宋体" w:cs="宋体"/>
          <w:color w:val="auto"/>
          <w:sz w:val="28"/>
          <w:szCs w:val="28"/>
          <w:highlight w:val="none"/>
          <w:lang w:eastAsia="zh-CN"/>
        </w:rPr>
        <w:t>费用支付按季度平均支付，每季度服务满后下一季度第一个月15日前成交供应商提供上季度的维保报告</w:t>
      </w:r>
      <w:r>
        <w:rPr>
          <w:rFonts w:hint="eastAsia" w:ascii="宋体" w:hAnsi="宋体" w:eastAsia="宋体" w:cs="宋体"/>
          <w:color w:val="0000FF"/>
          <w:sz w:val="28"/>
          <w:szCs w:val="28"/>
          <w:highlight w:val="none"/>
          <w:lang w:eastAsia="zh-CN"/>
        </w:rPr>
        <w:t>、</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lang w:eastAsia="zh-CN"/>
        </w:rPr>
        <w:t>发票给采购人，采购人当月的20日前支付费用</w:t>
      </w:r>
      <w:r>
        <w:rPr>
          <w:rFonts w:hint="eastAsia" w:ascii="宋体" w:hAnsi="宋体" w:eastAsia="宋体" w:cs="宋体"/>
          <w:color w:val="auto"/>
          <w:sz w:val="28"/>
          <w:szCs w:val="28"/>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b w:val="0"/>
          <w:sz w:val="28"/>
          <w:szCs w:val="28"/>
          <w:highlight w:val="none"/>
          <w:lang w:val="en-US" w:eastAsia="zh-CN" w:bidi="ar-SA"/>
        </w:rPr>
      </w:pPr>
      <w:r>
        <w:rPr>
          <w:rFonts w:hint="eastAsia" w:ascii="宋体" w:hAnsi="宋体" w:eastAsia="宋体" w:cs="宋体"/>
          <w:color w:val="auto"/>
          <w:sz w:val="28"/>
          <w:szCs w:val="28"/>
          <w:highlight w:val="none"/>
          <w:lang w:val="en-US" w:eastAsia="zh-CN"/>
        </w:rPr>
        <w:t>2.成交供应商须开具与响应文件中供应商名称一致的发票。</w:t>
      </w:r>
    </w:p>
    <w:p>
      <w:pPr>
        <w:pStyle w:val="4"/>
        <w:pageBreakBefore w:val="0"/>
        <w:widowControl/>
        <w:numPr>
          <w:ilvl w:val="0"/>
          <w:numId w:val="0"/>
        </w:numPr>
        <w:tabs>
          <w:tab w:val="left" w:pos="840"/>
        </w:tabs>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五、验收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1.污水处理站消毒粉验收要求</w:t>
      </w:r>
    </w:p>
    <w:p>
      <w:pPr>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（1）成交供应商将货物送货至采购人指定地点后，由采购人按照实物样品、采购合同、相关招投标文件要求进行核对，根据国家相关法律法规，对货物的规格参数和质量标准进行检查验收。</w:t>
      </w:r>
    </w:p>
    <w:p>
      <w:pPr>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（2）货物在验收过程中发现所交付的货物有短缺、次品、损坏或其他不符合磋商文件、合同规定之情形者，采购人有权拒付该批物品的费用，并由成交供应商承担由此发生的一切费用和损失。</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所有货物在使用过程中发现以次充好或使用假冒伪劣产品的，成交供应商除无条件更换货物外，采购人还需按中标货物价格*更换货物数量之总值的5倍金额扣除成交供应商的金额。此种情况超过2次或以上的，采购人有权单方中止合同。</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因质量问题发生争议时，由地级市或以上的质检部门进行相关鉴定，鉴定费用先由成交供应商垫付，鉴定结果符合质量技术要求，发生的所有鉴定费由采购人承担；鉴定结果不符合质量技术要求，发生的所有鉴定费由成交供应商承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（5）成交供应商保证因执行本项目向采购人提供的所有货物、材料、工序工艺等产品不侵犯第三方知识产权、商业秘密等权利。若发生侵犯第三方权利的情况,成交供应商应负责与第三方交涉, 并承担由此而产生的一切法律责任, 如采购人因此而遭受损失，成交供应商应承担全部的赔偿责任。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服务验收要求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（1）成交供应商应定期对污水处理站设备进行巡检、保养，做好巡检记录，每个季度向采购人提交维保总结报告书和验收申请，由采购人确认，并作为付款依据。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合同开始执行时和本合同期满后，由成交供应商、采购人和移交人共同对采购人的所有设备及设施进行验收。成交供应商在移交前必须确保维保范围内的设备处于正常运行状态，成交供应商应检修完成后再交付，否则采购人有权请第三方维修，所产生的费用由成交供应商承担。</w:t>
      </w:r>
    </w:p>
    <w:p>
      <w:pPr>
        <w:pStyle w:val="2"/>
        <w:keepNext w:val="0"/>
        <w:keepLines w:val="0"/>
        <w:pageBreakBefore w:val="0"/>
        <w:widowControl/>
        <w:kinsoku/>
        <w:wordWrap/>
        <w:overflowPunct/>
        <w:topLinePunct w:val="0"/>
        <w:autoSpaceDE/>
        <w:autoSpaceDN/>
        <w:bidi w:val="0"/>
        <w:adjustRightInd/>
        <w:snapToGrid/>
        <w:spacing w:after="0"/>
        <w:ind w:left="0" w:leftChars="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（3）供应商所提供的所有服务应符合相关法律法规要求，包括但不限于：</w:t>
      </w:r>
    </w:p>
    <w:p>
      <w:pPr>
        <w:pStyle w:val="2"/>
        <w:keepNext w:val="0"/>
        <w:keepLines w:val="0"/>
        <w:pageBreakBefore w:val="0"/>
        <w:widowControl/>
        <w:kinsoku/>
        <w:wordWrap/>
        <w:overflowPunct/>
        <w:topLinePunct w:val="0"/>
        <w:autoSpaceDE/>
        <w:autoSpaceDN/>
        <w:bidi w:val="0"/>
        <w:adjustRightInd/>
        <w:snapToGrid/>
        <w:spacing w:after="0"/>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GB 18466 医疗机构水污染物排放标准</w:t>
      </w:r>
    </w:p>
    <w:p>
      <w:pPr>
        <w:pStyle w:val="2"/>
        <w:keepNext w:val="0"/>
        <w:keepLines w:val="0"/>
        <w:pageBreakBefore w:val="0"/>
        <w:widowControl/>
        <w:kinsoku/>
        <w:wordWrap/>
        <w:overflowPunct/>
        <w:topLinePunct w:val="0"/>
        <w:autoSpaceDE/>
        <w:autoSpaceDN/>
        <w:bidi w:val="0"/>
        <w:adjustRightInd/>
        <w:snapToGrid/>
        <w:spacing w:after="0"/>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HJ 91.1 污水监测技术规范</w:t>
      </w:r>
    </w:p>
    <w:p>
      <w:pPr>
        <w:pStyle w:val="2"/>
        <w:keepNext w:val="0"/>
        <w:keepLines w:val="0"/>
        <w:pageBreakBefore w:val="0"/>
        <w:widowControl/>
        <w:kinsoku/>
        <w:wordWrap/>
        <w:overflowPunct/>
        <w:topLinePunct w:val="0"/>
        <w:autoSpaceDE/>
        <w:autoSpaceDN/>
        <w:bidi w:val="0"/>
        <w:adjustRightInd/>
        <w:snapToGrid/>
        <w:spacing w:after="0"/>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HJ/T 353 水污染源在线监测系统安装技术规范（试行）</w:t>
      </w:r>
    </w:p>
    <w:p>
      <w:pPr>
        <w:pStyle w:val="2"/>
        <w:keepNext w:val="0"/>
        <w:keepLines w:val="0"/>
        <w:pageBreakBefore w:val="0"/>
        <w:widowControl/>
        <w:kinsoku/>
        <w:wordWrap/>
        <w:overflowPunct/>
        <w:topLinePunct w:val="0"/>
        <w:autoSpaceDE/>
        <w:autoSpaceDN/>
        <w:bidi w:val="0"/>
        <w:adjustRightInd/>
        <w:snapToGrid/>
        <w:spacing w:after="0"/>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HJ/T 354 水污染源在线监测系统验收技术规范（试行）</w:t>
      </w:r>
    </w:p>
    <w:p>
      <w:pPr>
        <w:pStyle w:val="2"/>
        <w:keepNext w:val="0"/>
        <w:keepLines w:val="0"/>
        <w:pageBreakBefore w:val="0"/>
        <w:widowControl/>
        <w:kinsoku/>
        <w:wordWrap/>
        <w:overflowPunct/>
        <w:topLinePunct w:val="0"/>
        <w:autoSpaceDE/>
        <w:autoSpaceDN/>
        <w:bidi w:val="0"/>
        <w:adjustRightInd/>
        <w:snapToGrid/>
        <w:spacing w:after="0"/>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HJ/T 355 水污染源在线监测系统运行与考核技术规范（试行）</w:t>
      </w:r>
    </w:p>
    <w:p>
      <w:pPr>
        <w:pStyle w:val="2"/>
        <w:keepNext w:val="0"/>
        <w:keepLines w:val="0"/>
        <w:pageBreakBefore w:val="0"/>
        <w:widowControl/>
        <w:kinsoku/>
        <w:wordWrap/>
        <w:overflowPunct/>
        <w:topLinePunct w:val="0"/>
        <w:autoSpaceDE/>
        <w:autoSpaceDN/>
        <w:bidi w:val="0"/>
        <w:adjustRightInd/>
        <w:snapToGrid/>
        <w:spacing w:after="0"/>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HJ 942 排污许可证申请与核发技术规范 总则</w:t>
      </w:r>
    </w:p>
    <w:p>
      <w:pPr>
        <w:pStyle w:val="2"/>
        <w:keepNext w:val="0"/>
        <w:keepLines w:val="0"/>
        <w:pageBreakBefore w:val="0"/>
        <w:widowControl/>
        <w:kinsoku/>
        <w:wordWrap/>
        <w:overflowPunct/>
        <w:topLinePunct w:val="0"/>
        <w:autoSpaceDE/>
        <w:autoSpaceDN/>
        <w:bidi w:val="0"/>
        <w:adjustRightInd/>
        <w:snapToGrid/>
        <w:spacing w:after="0"/>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固定污染源排污许可分类管理名录（2019年版）</w:t>
      </w:r>
    </w:p>
    <w:p>
      <w:pPr>
        <w:pStyle w:val="2"/>
        <w:keepNext w:val="0"/>
        <w:keepLines w:val="0"/>
        <w:pageBreakBefore w:val="0"/>
        <w:widowControl/>
        <w:kinsoku/>
        <w:wordWrap/>
        <w:overflowPunct/>
        <w:topLinePunct w:val="0"/>
        <w:autoSpaceDE/>
        <w:autoSpaceDN/>
        <w:bidi w:val="0"/>
        <w:adjustRightInd/>
        <w:snapToGrid/>
        <w:spacing w:after="0"/>
        <w:ind w:left="0" w:leftChars="0" w:firstLine="560" w:firstLineChars="200"/>
        <w:textAlignment w:val="auto"/>
        <w:rPr>
          <w:rFonts w:hint="default"/>
          <w:highlight w:val="none"/>
          <w:lang w:val="en-US" w:eastAsia="zh-CN"/>
        </w:rPr>
      </w:pPr>
      <w:r>
        <w:rPr>
          <w:rFonts w:hint="eastAsia" w:ascii="宋体" w:hAnsi="宋体" w:eastAsia="宋体" w:cs="宋体"/>
          <w:color w:val="auto"/>
          <w:sz w:val="28"/>
          <w:szCs w:val="28"/>
          <w:highlight w:val="none"/>
          <w:lang w:val="en-US" w:eastAsia="zh-CN"/>
        </w:rPr>
        <w:t>中华人民共和国水污染防治法</w:t>
      </w:r>
    </w:p>
    <w:p>
      <w:pPr>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B60BED"/>
    <w:multiLevelType w:val="multilevel"/>
    <w:tmpl w:val="6AB60BED"/>
    <w:lvl w:ilvl="0" w:tentative="0">
      <w:start w:val="1"/>
      <w:numFmt w:val="decimal"/>
      <w:pStyle w:val="4"/>
      <w:lvlText w:val="%1"/>
      <w:lvlJc w:val="left"/>
      <w:pPr>
        <w:ind w:left="432" w:hanging="432"/>
      </w:pPr>
      <w:rPr>
        <w:rFonts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ind w:left="576" w:hanging="576"/>
      </w:pPr>
      <w:rPr>
        <w:rFonts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20" w:hanging="720"/>
      </w:pPr>
    </w:lvl>
    <w:lvl w:ilvl="3" w:tentative="0">
      <w:start w:val="1"/>
      <w:numFmt w:val="decimal"/>
      <w:lvlText w:val="%1.%2.%3.%4"/>
      <w:lvlJc w:val="left"/>
      <w:pPr>
        <w:ind w:left="864" w:hanging="864"/>
      </w:pPr>
      <w:rPr>
        <w:i w:val="0"/>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9.1.2.%7."/>
      <w:lvlJc w:val="left"/>
      <w:pPr>
        <w:ind w:left="1296" w:hanging="1296"/>
      </w:pPr>
      <w:rPr>
        <w:rFonts w:hint="eastAsia"/>
      </w:r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YWJiYTVmNGU2YjQ0ODgwNDk4YWQwNjBjYWYwNjgifQ=="/>
  </w:docVars>
  <w:rsids>
    <w:rsidRoot w:val="70367888"/>
    <w:rsid w:val="2D6A408E"/>
    <w:rsid w:val="4D2F0CED"/>
    <w:rsid w:val="70367888"/>
    <w:rsid w:val="72E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szCs w:val="22"/>
      <w:lang w:val="en-US" w:eastAsia="zh-CN" w:bidi="ar-SA"/>
    </w:rPr>
  </w:style>
  <w:style w:type="paragraph" w:styleId="4">
    <w:name w:val="heading 1"/>
    <w:basedOn w:val="1"/>
    <w:next w:val="1"/>
    <w:qFormat/>
    <w:uiPriority w:val="0"/>
    <w:pPr>
      <w:keepNext/>
      <w:keepLines/>
      <w:numPr>
        <w:ilvl w:val="0"/>
        <w:numId w:val="1"/>
      </w:numPr>
      <w:spacing w:before="120" w:after="120" w:line="578" w:lineRule="auto"/>
      <w:outlineLvl w:val="0"/>
    </w:pPr>
    <w:rPr>
      <w:rFonts w:ascii="Times New Roman" w:hAnsi="Times New Roman" w:eastAsia="宋体" w:cs="Times New Roman"/>
      <w:b/>
      <w:bCs/>
      <w:kern w:val="44"/>
      <w:sz w:val="28"/>
      <w:szCs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 w:val="24"/>
    </w:rPr>
  </w:style>
  <w:style w:type="paragraph" w:styleId="3">
    <w:name w:val="Body Text Indent"/>
    <w:basedOn w:val="1"/>
    <w:qFormat/>
    <w:uiPriority w:val="0"/>
    <w:pPr>
      <w:spacing w:line="560" w:lineRule="exact"/>
      <w:ind w:firstLine="609" w:firstLineChars="203"/>
    </w:pPr>
    <w:rPr>
      <w:spacing w:val="10"/>
      <w:sz w:val="28"/>
    </w:rPr>
  </w:style>
  <w:style w:type="paragraph" w:styleId="5">
    <w:name w:val="annotation text"/>
    <w:basedOn w:val="1"/>
    <w:semiHidden/>
    <w:qFormat/>
    <w:uiPriority w:val="0"/>
  </w:style>
  <w:style w:type="paragraph" w:styleId="6">
    <w:name w:val="Body Text First Indent"/>
    <w:basedOn w:val="2"/>
    <w:next w:val="1"/>
    <w:qFormat/>
    <w:uiPriority w:val="0"/>
    <w:pPr>
      <w:widowControl w:val="0"/>
      <w:spacing w:after="0" w:line="360" w:lineRule="auto"/>
      <w:ind w:firstLine="425"/>
      <w:jc w:val="both"/>
    </w:pPr>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标题1"/>
    <w:basedOn w:val="1"/>
    <w:autoRedefine/>
    <w:qFormat/>
    <w:uiPriority w:val="0"/>
    <w:pPr>
      <w:spacing w:line="360" w:lineRule="auto"/>
      <w:jc w:val="center"/>
    </w:pPr>
    <w:rPr>
      <w:rFonts w:ascii="黑体" w:eastAsia="黑体"/>
      <w:b/>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2025-05-29T00:41:00Z</dcterms:created>
  <dc:creator>hybx</dc:creator>
  <cp:lastModifiedBy>hybx</cp:lastModifiedBy>
  <dcterms:modified xsi:type="dcterms:W3CDTF">2025-05-29T06:47:48Z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9B25A9189D8A4C35ABE1A815293BB389_11</vt:lpwstr>
  </property>
</Properties>
</file>