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0DBEA">
      <w:pPr>
        <w:spacing w:line="480" w:lineRule="auto"/>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r>
        <w:rPr>
          <w:rFonts w:hint="eastAsia" w:ascii="仿宋_GB2312" w:eastAsia="仿宋_GB2312"/>
          <w:sz w:val="32"/>
          <w:szCs w:val="32"/>
        </w:rPr>
        <w:t>：</w:t>
      </w:r>
    </w:p>
    <w:p w14:paraId="6114A5E7">
      <w:pPr>
        <w:pStyle w:val="5"/>
        <w:spacing w:line="600" w:lineRule="auto"/>
        <w:jc w:val="center"/>
        <w:rPr>
          <w:rFonts w:hint="eastAsia" w:ascii="公文小标宋简" w:eastAsia="公文小标宋简"/>
          <w:color w:val="auto"/>
          <w:sz w:val="44"/>
          <w:szCs w:val="44"/>
          <w:lang w:val="en-US" w:eastAsia="zh-CN"/>
        </w:rPr>
      </w:pPr>
      <w:r>
        <w:rPr>
          <w:rFonts w:hint="eastAsia" w:ascii="公文小标宋简" w:eastAsia="公文小标宋简"/>
          <w:color w:val="auto"/>
          <w:sz w:val="44"/>
          <w:szCs w:val="44"/>
          <w:lang w:eastAsia="zh-CN"/>
        </w:rPr>
        <w:t>中山市南朗医院急诊科创伤急救系统服务采购项目（</w:t>
      </w:r>
      <w:bookmarkStart w:id="2" w:name="_GoBack"/>
      <w:bookmarkEnd w:id="2"/>
      <w:r>
        <w:rPr>
          <w:rFonts w:hint="eastAsia" w:ascii="公文小标宋简" w:eastAsia="公文小标宋简"/>
          <w:color w:val="auto"/>
          <w:sz w:val="44"/>
          <w:szCs w:val="44"/>
          <w:lang w:eastAsia="zh-CN"/>
        </w:rPr>
        <w:t>第三次）</w:t>
      </w:r>
      <w:r>
        <w:rPr>
          <w:rFonts w:hint="eastAsia" w:ascii="公文小标宋简" w:eastAsia="公文小标宋简"/>
          <w:color w:val="auto"/>
          <w:sz w:val="44"/>
          <w:szCs w:val="44"/>
          <w:lang w:val="en-US" w:eastAsia="zh-CN"/>
        </w:rPr>
        <w:t>用户需求</w:t>
      </w:r>
    </w:p>
    <w:p w14:paraId="7BE39836">
      <w:pPr>
        <w:pStyle w:val="6"/>
        <w:rPr>
          <w:rFonts w:hint="eastAsia"/>
          <w:lang w:val="en-US" w:eastAsia="zh-CN"/>
        </w:rPr>
      </w:pPr>
    </w:p>
    <w:p w14:paraId="1FB64F91">
      <w:pPr>
        <w:numPr>
          <w:ilvl w:val="0"/>
          <w:numId w:val="2"/>
        </w:numPr>
        <w:spacing w:line="360" w:lineRule="auto"/>
        <w:ind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项目内容：</w:t>
      </w:r>
    </w:p>
    <w:p w14:paraId="31565E11">
      <w:pPr>
        <w:numPr>
          <w:ilvl w:val="0"/>
          <w:numId w:val="3"/>
        </w:numPr>
        <w:spacing w:line="360" w:lineRule="auto"/>
        <w:ind w:left="0"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项目名称：中山市南朗医院急诊科创伤急救系统服务采购项目（第三次）</w:t>
      </w:r>
    </w:p>
    <w:p w14:paraId="3A26F848">
      <w:pPr>
        <w:numPr>
          <w:ilvl w:val="0"/>
          <w:numId w:val="2"/>
        </w:numPr>
        <w:spacing w:line="360" w:lineRule="auto"/>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需求内容</w:t>
      </w:r>
    </w:p>
    <w:p w14:paraId="2E4D5923">
      <w:pPr>
        <w:pStyle w:val="2"/>
        <w:numPr>
          <w:ilvl w:val="0"/>
          <w:numId w:val="4"/>
        </w:numPr>
        <w:spacing w:line="720" w:lineRule="auto"/>
        <w:ind w:left="0" w:leftChars="0" w:firstLine="640" w:firstLineChars="200"/>
        <w:rPr>
          <w:rFonts w:hint="eastAsia" w:ascii="仿宋_GB2312" w:hAnsi="仿宋_GB2312" w:eastAsia="仿宋_GB2312" w:cs="仿宋_GB2312"/>
          <w:b w:val="0"/>
          <w:bCs/>
          <w:sz w:val="32"/>
          <w:szCs w:val="32"/>
        </w:rPr>
      </w:pPr>
      <w:bookmarkStart w:id="0" w:name="_Toc24628"/>
      <w:r>
        <w:rPr>
          <w:rFonts w:hint="eastAsia" w:ascii="仿宋_GB2312" w:hAnsi="仿宋_GB2312" w:eastAsia="仿宋_GB2312" w:cs="仿宋_GB2312"/>
          <w:b w:val="0"/>
          <w:bCs/>
          <w:sz w:val="32"/>
          <w:szCs w:val="32"/>
          <w:lang w:eastAsia="zh-CN"/>
        </w:rPr>
        <w:t>采购</w:t>
      </w:r>
      <w:r>
        <w:rPr>
          <w:rFonts w:hint="eastAsia" w:ascii="仿宋_GB2312" w:hAnsi="仿宋_GB2312" w:eastAsia="仿宋_GB2312" w:cs="仿宋_GB2312"/>
          <w:b w:val="0"/>
          <w:bCs/>
          <w:sz w:val="32"/>
          <w:szCs w:val="32"/>
        </w:rPr>
        <w:t>清</w:t>
      </w:r>
      <w:r>
        <w:rPr>
          <w:rFonts w:hint="eastAsia" w:ascii="仿宋_GB2312" w:hAnsi="仿宋_GB2312" w:eastAsia="仿宋_GB2312" w:cs="仿宋_GB2312"/>
          <w:b w:val="0"/>
          <w:bCs/>
          <w:sz w:val="32"/>
          <w:szCs w:val="32"/>
          <w:lang w:val="en-US" w:eastAsia="zh-CN"/>
        </w:rPr>
        <w:t>单</w:t>
      </w:r>
    </w:p>
    <w:bookmarkEnd w:id="0"/>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5"/>
        <w:gridCol w:w="1233"/>
        <w:gridCol w:w="1145"/>
        <w:gridCol w:w="1713"/>
        <w:gridCol w:w="1786"/>
      </w:tblGrid>
      <w:tr w14:paraId="36EF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5" w:type="dxa"/>
            <w:vAlign w:val="center"/>
          </w:tcPr>
          <w:p w14:paraId="264104E8">
            <w:pPr>
              <w:spacing w:line="240" w:lineRule="auto"/>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名称</w:t>
            </w:r>
          </w:p>
        </w:tc>
        <w:tc>
          <w:tcPr>
            <w:tcW w:w="1233" w:type="dxa"/>
            <w:shd w:val="clear" w:color="auto" w:fill="auto"/>
            <w:vAlign w:val="center"/>
          </w:tcPr>
          <w:p w14:paraId="4DFB8E20">
            <w:pPr>
              <w:spacing w:line="240" w:lineRule="auto"/>
              <w:ind w:firstLine="0" w:firstLineChars="0"/>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数量</w:t>
            </w:r>
          </w:p>
        </w:tc>
        <w:tc>
          <w:tcPr>
            <w:tcW w:w="1145" w:type="dxa"/>
            <w:vAlign w:val="center"/>
          </w:tcPr>
          <w:p w14:paraId="76ED7806">
            <w:pPr>
              <w:spacing w:line="240" w:lineRule="auto"/>
              <w:ind w:firstLine="0" w:firstLineChars="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单位</w:t>
            </w:r>
          </w:p>
        </w:tc>
        <w:tc>
          <w:tcPr>
            <w:tcW w:w="1713" w:type="dxa"/>
            <w:vAlign w:val="center"/>
          </w:tcPr>
          <w:p w14:paraId="30C82A55">
            <w:pPr>
              <w:spacing w:line="240" w:lineRule="auto"/>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单价（元）</w:t>
            </w:r>
          </w:p>
        </w:tc>
        <w:tc>
          <w:tcPr>
            <w:tcW w:w="1786" w:type="dxa"/>
            <w:vAlign w:val="center"/>
          </w:tcPr>
          <w:p w14:paraId="373D412A">
            <w:pPr>
              <w:spacing w:line="240" w:lineRule="auto"/>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汇总（元）</w:t>
            </w:r>
          </w:p>
        </w:tc>
      </w:tr>
      <w:tr w14:paraId="4BAF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645" w:type="dxa"/>
            <w:vAlign w:val="center"/>
          </w:tcPr>
          <w:p w14:paraId="2F9BD591">
            <w:pPr>
              <w:spacing w:line="240" w:lineRule="auto"/>
              <w:ind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创伤救治信息交互联动系统服务</w:t>
            </w:r>
          </w:p>
        </w:tc>
        <w:tc>
          <w:tcPr>
            <w:tcW w:w="1233" w:type="dxa"/>
            <w:shd w:val="clear" w:color="auto" w:fill="auto"/>
            <w:vAlign w:val="center"/>
          </w:tcPr>
          <w:p w14:paraId="307CD52C">
            <w:pPr>
              <w:spacing w:line="240" w:lineRule="auto"/>
              <w:ind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w:t>
            </w:r>
          </w:p>
        </w:tc>
        <w:tc>
          <w:tcPr>
            <w:tcW w:w="1145" w:type="dxa"/>
            <w:vAlign w:val="center"/>
          </w:tcPr>
          <w:p w14:paraId="062DE765">
            <w:pPr>
              <w:spacing w:line="240" w:lineRule="auto"/>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w:t>
            </w:r>
          </w:p>
        </w:tc>
        <w:tc>
          <w:tcPr>
            <w:tcW w:w="1713" w:type="dxa"/>
            <w:vAlign w:val="center"/>
          </w:tcPr>
          <w:p w14:paraId="3F21C599">
            <w:pPr>
              <w:spacing w:line="240" w:lineRule="auto"/>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20000</w:t>
            </w:r>
          </w:p>
        </w:tc>
        <w:tc>
          <w:tcPr>
            <w:tcW w:w="1786" w:type="dxa"/>
            <w:vAlign w:val="center"/>
          </w:tcPr>
          <w:p w14:paraId="50ACD996">
            <w:pPr>
              <w:spacing w:line="240" w:lineRule="auto"/>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60000</w:t>
            </w:r>
          </w:p>
        </w:tc>
      </w:tr>
      <w:tr w14:paraId="21E1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45" w:type="dxa"/>
            <w:vMerge w:val="restart"/>
            <w:vAlign w:val="center"/>
          </w:tcPr>
          <w:p w14:paraId="637062D2">
            <w:pPr>
              <w:spacing w:line="240" w:lineRule="auto"/>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5877" w:type="dxa"/>
            <w:gridSpan w:val="4"/>
            <w:vAlign w:val="center"/>
          </w:tcPr>
          <w:p w14:paraId="55922D68">
            <w:pPr>
              <w:spacing w:line="240" w:lineRule="auto"/>
              <w:ind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人民币（小写）：</w:t>
            </w:r>
            <w:r>
              <w:rPr>
                <w:rFonts w:hint="eastAsia" w:ascii="仿宋_GB2312" w:hAnsi="仿宋_GB2312" w:eastAsia="仿宋_GB2312" w:cs="仿宋_GB2312"/>
                <w:sz w:val="28"/>
                <w:szCs w:val="28"/>
                <w:lang w:val="en-US" w:eastAsia="zh-CN"/>
              </w:rPr>
              <w:t>60000.00元（3年）</w:t>
            </w:r>
          </w:p>
        </w:tc>
      </w:tr>
      <w:tr w14:paraId="67F7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45" w:type="dxa"/>
            <w:vMerge w:val="continue"/>
            <w:vAlign w:val="center"/>
          </w:tcPr>
          <w:p w14:paraId="3A544332">
            <w:pPr>
              <w:spacing w:line="240" w:lineRule="auto"/>
              <w:ind w:firstLine="0" w:firstLineChars="0"/>
              <w:jc w:val="center"/>
              <w:rPr>
                <w:rFonts w:hint="eastAsia" w:ascii="仿宋_GB2312" w:hAnsi="仿宋_GB2312" w:eastAsia="仿宋_GB2312" w:cs="仿宋_GB2312"/>
                <w:sz w:val="28"/>
                <w:szCs w:val="28"/>
              </w:rPr>
            </w:pPr>
          </w:p>
        </w:tc>
        <w:tc>
          <w:tcPr>
            <w:tcW w:w="5877" w:type="dxa"/>
            <w:gridSpan w:val="4"/>
            <w:vAlign w:val="center"/>
          </w:tcPr>
          <w:p w14:paraId="13E8A7CD">
            <w:pPr>
              <w:spacing w:line="240" w:lineRule="auto"/>
              <w:ind w:firstLine="0" w:firstLineChars="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人民币（大写）：</w:t>
            </w:r>
            <w:r>
              <w:rPr>
                <w:rFonts w:hint="eastAsia" w:ascii="仿宋_GB2312" w:hAnsi="仿宋_GB2312" w:eastAsia="仿宋_GB2312" w:cs="仿宋_GB2312"/>
                <w:sz w:val="28"/>
                <w:szCs w:val="28"/>
                <w:lang w:eastAsia="zh-CN"/>
              </w:rPr>
              <w:t>陆万元整（叁年）</w:t>
            </w:r>
          </w:p>
        </w:tc>
      </w:tr>
    </w:tbl>
    <w:p w14:paraId="23127552">
      <w:pPr>
        <w:pStyle w:val="3"/>
        <w:numPr>
          <w:ilvl w:val="0"/>
          <w:numId w:val="5"/>
        </w:numPr>
        <w:bidi w:val="0"/>
        <w:spacing w:line="720" w:lineRule="auto"/>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系统服务</w:t>
      </w:r>
      <w:r>
        <w:rPr>
          <w:rFonts w:hint="eastAsia" w:ascii="仿宋_GB2312" w:hAnsi="仿宋_GB2312" w:eastAsia="仿宋_GB2312" w:cs="仿宋_GB2312"/>
          <w:sz w:val="28"/>
          <w:szCs w:val="28"/>
          <w:lang w:eastAsia="zh-CN"/>
        </w:rPr>
        <w:t>模块</w:t>
      </w:r>
      <w:r>
        <w:rPr>
          <w:rFonts w:hint="eastAsia" w:ascii="仿宋_GB2312" w:hAnsi="仿宋_GB2312" w:eastAsia="仿宋_GB2312" w:cs="仿宋_GB2312"/>
          <w:sz w:val="28"/>
          <w:szCs w:val="28"/>
          <w:lang w:val="en-US" w:eastAsia="zh-CN"/>
        </w:rPr>
        <w:t>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825"/>
        <w:gridCol w:w="5861"/>
      </w:tblGrid>
      <w:tr w14:paraId="2FE2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36" w:type="dxa"/>
            <w:vAlign w:val="center"/>
          </w:tcPr>
          <w:p w14:paraId="7A6C8418">
            <w:pPr>
              <w:spacing w:line="240" w:lineRule="auto"/>
              <w:ind w:firstLine="0" w:firstLineChars="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序号</w:t>
            </w:r>
          </w:p>
        </w:tc>
        <w:tc>
          <w:tcPr>
            <w:tcW w:w="1825" w:type="dxa"/>
            <w:vAlign w:val="center"/>
          </w:tcPr>
          <w:p w14:paraId="2D693DF6">
            <w:pPr>
              <w:spacing w:line="240" w:lineRule="auto"/>
              <w:ind w:firstLine="0" w:firstLineChars="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服务</w:t>
            </w:r>
            <w:r>
              <w:rPr>
                <w:rFonts w:hint="eastAsia" w:ascii="仿宋_GB2312" w:hAnsi="仿宋_GB2312" w:eastAsia="仿宋_GB2312" w:cs="仿宋_GB2312"/>
                <w:b/>
                <w:bCs/>
                <w:sz w:val="24"/>
                <w:szCs w:val="24"/>
                <w:lang w:eastAsia="zh-CN"/>
              </w:rPr>
              <w:t>内容</w:t>
            </w:r>
          </w:p>
        </w:tc>
        <w:tc>
          <w:tcPr>
            <w:tcW w:w="5861" w:type="dxa"/>
            <w:vAlign w:val="center"/>
          </w:tcPr>
          <w:p w14:paraId="05900ECC">
            <w:pPr>
              <w:spacing w:line="240" w:lineRule="auto"/>
              <w:ind w:firstLine="0" w:firstLineChars="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服务模块名称</w:t>
            </w:r>
          </w:p>
        </w:tc>
      </w:tr>
      <w:tr w14:paraId="0A6B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36" w:type="dxa"/>
            <w:vAlign w:val="center"/>
          </w:tcPr>
          <w:p w14:paraId="277719DF">
            <w:pPr>
              <w:spacing w:line="240" w:lineRule="auto"/>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825" w:type="dxa"/>
            <w:vAlign w:val="center"/>
          </w:tcPr>
          <w:p w14:paraId="4F24F7C3">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移动端</w:t>
            </w:r>
          </w:p>
        </w:tc>
        <w:tc>
          <w:tcPr>
            <w:tcW w:w="5861" w:type="dxa"/>
            <w:vAlign w:val="center"/>
          </w:tcPr>
          <w:p w14:paraId="41321B46">
            <w:pPr>
              <w:spacing w:line="240" w:lineRule="auto"/>
              <w:ind w:firstLine="0" w:firstLineChars="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院前院内协同、院前急救信息预警联动、移动会诊系统、患者情况一览表、智能输入、院前急救电子病历系统、急救病历填报、院前院内对接</w:t>
            </w:r>
          </w:p>
        </w:tc>
      </w:tr>
      <w:tr w14:paraId="0532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36" w:type="dxa"/>
            <w:vAlign w:val="center"/>
          </w:tcPr>
          <w:p w14:paraId="0A0EE7F4">
            <w:pPr>
              <w:spacing w:line="240" w:lineRule="auto"/>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825" w:type="dxa"/>
            <w:vAlign w:val="center"/>
          </w:tcPr>
          <w:p w14:paraId="3B355828">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电脑端</w:t>
            </w:r>
          </w:p>
        </w:tc>
        <w:tc>
          <w:tcPr>
            <w:tcW w:w="5861" w:type="dxa"/>
            <w:vAlign w:val="center"/>
          </w:tcPr>
          <w:p w14:paraId="038C63E7">
            <w:pPr>
              <w:pStyle w:val="18"/>
              <w:keepNext w:val="0"/>
              <w:keepLines w:val="0"/>
              <w:widowControl/>
              <w:suppressLineNumbers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院前院内协同、院前院内预警联动、远程会诊系统、急救电子病历系统、评分工具、创伤病例上报系统、质控管理系统、基本周报、预警记录</w:t>
            </w:r>
          </w:p>
        </w:tc>
      </w:tr>
    </w:tbl>
    <w:p w14:paraId="2C77BB2D">
      <w:pPr>
        <w:pStyle w:val="3"/>
        <w:numPr>
          <w:ilvl w:val="2"/>
          <w:numId w:val="0"/>
        </w:numPr>
        <w:bidi w:val="0"/>
        <w:spacing w:line="720" w:lineRule="auto"/>
        <w:ind w:leftChars="200"/>
        <w:rPr>
          <w:rFonts w:hint="eastAsia" w:ascii="仿宋_GB2312" w:hAnsi="仿宋_GB2312" w:eastAsia="仿宋_GB2312" w:cs="仿宋_GB2312"/>
          <w:sz w:val="28"/>
          <w:szCs w:val="28"/>
          <w:lang w:eastAsia="zh-CN"/>
        </w:rPr>
      </w:pPr>
    </w:p>
    <w:p w14:paraId="15FC4721">
      <w:pPr>
        <w:rPr>
          <w:rFonts w:hint="eastAsia"/>
          <w:lang w:eastAsia="zh-CN"/>
        </w:rPr>
      </w:pPr>
    </w:p>
    <w:p w14:paraId="640B551C">
      <w:pPr>
        <w:pStyle w:val="3"/>
        <w:numPr>
          <w:ilvl w:val="0"/>
          <w:numId w:val="5"/>
        </w:numPr>
        <w:bidi w:val="0"/>
        <w:spacing w:line="720" w:lineRule="auto"/>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系统服务</w:t>
      </w:r>
      <w:r>
        <w:rPr>
          <w:rFonts w:hint="eastAsia" w:ascii="仿宋_GB2312" w:hAnsi="仿宋_GB2312" w:eastAsia="仿宋_GB2312" w:cs="仿宋_GB2312"/>
          <w:sz w:val="28"/>
          <w:szCs w:val="28"/>
        </w:rPr>
        <w:t>功能</w:t>
      </w:r>
      <w:r>
        <w:rPr>
          <w:rFonts w:hint="eastAsia" w:ascii="仿宋_GB2312" w:hAnsi="仿宋_GB2312" w:eastAsia="仿宋_GB2312" w:cs="仿宋_GB2312"/>
          <w:sz w:val="28"/>
          <w:szCs w:val="28"/>
          <w:lang w:eastAsia="zh-CN"/>
        </w:rPr>
        <w:t>要求容</w:t>
      </w:r>
    </w:p>
    <w:tbl>
      <w:tblPr>
        <w:tblStyle w:val="10"/>
        <w:tblW w:w="8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191"/>
        <w:gridCol w:w="1191"/>
        <w:gridCol w:w="6111"/>
      </w:tblGrid>
      <w:tr w14:paraId="1B96F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1191" w:type="dxa"/>
            <w:tcBorders>
              <w:tl2br w:val="nil"/>
              <w:tr2bl w:val="nil"/>
            </w:tcBorders>
            <w:shd w:val="clear" w:color="auto" w:fill="auto"/>
            <w:vAlign w:val="center"/>
          </w:tcPr>
          <w:p w14:paraId="1E563C09">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服务内容</w:t>
            </w:r>
          </w:p>
        </w:tc>
        <w:tc>
          <w:tcPr>
            <w:tcW w:w="1191" w:type="dxa"/>
            <w:tcBorders>
              <w:tl2br w:val="nil"/>
              <w:tr2bl w:val="nil"/>
            </w:tcBorders>
            <w:shd w:val="clear" w:color="auto" w:fill="auto"/>
            <w:vAlign w:val="center"/>
          </w:tcPr>
          <w:p w14:paraId="33D6F48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kern w:val="0"/>
                <w:sz w:val="24"/>
                <w:szCs w:val="24"/>
                <w:u w:val="none"/>
                <w:lang w:val="en-US" w:eastAsia="zh-CN" w:bidi="ar"/>
              </w:rPr>
              <w:t>服务</w:t>
            </w:r>
            <w:r>
              <w:rPr>
                <w:rFonts w:hint="eastAsia" w:ascii="仿宋_GB2312" w:hAnsi="仿宋_GB2312" w:eastAsia="仿宋_GB2312" w:cs="仿宋_GB2312"/>
                <w:b/>
                <w:bCs/>
                <w:i w:val="0"/>
                <w:iCs w:val="0"/>
                <w:color w:val="000000"/>
                <w:sz w:val="24"/>
                <w:szCs w:val="24"/>
                <w:u w:val="none"/>
                <w:lang w:val="en-US" w:eastAsia="zh-CN"/>
              </w:rPr>
              <w:t>模块</w:t>
            </w:r>
          </w:p>
        </w:tc>
        <w:tc>
          <w:tcPr>
            <w:tcW w:w="6111" w:type="dxa"/>
            <w:tcBorders>
              <w:tl2br w:val="nil"/>
              <w:tr2bl w:val="nil"/>
            </w:tcBorders>
            <w:shd w:val="clear" w:color="auto" w:fill="auto"/>
            <w:vAlign w:val="center"/>
          </w:tcPr>
          <w:p w14:paraId="04982A5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功能描述</w:t>
            </w:r>
          </w:p>
        </w:tc>
      </w:tr>
      <w:tr w14:paraId="57236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94" w:hRule="atLeast"/>
        </w:trPr>
        <w:tc>
          <w:tcPr>
            <w:tcW w:w="1191" w:type="dxa"/>
            <w:vMerge w:val="restart"/>
            <w:tcBorders>
              <w:tl2br w:val="nil"/>
              <w:tr2bl w:val="nil"/>
            </w:tcBorders>
            <w:shd w:val="clear" w:color="auto" w:fill="auto"/>
            <w:vAlign w:val="center"/>
          </w:tcPr>
          <w:p w14:paraId="580B989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移动端</w:t>
            </w:r>
          </w:p>
        </w:tc>
        <w:tc>
          <w:tcPr>
            <w:tcW w:w="1191" w:type="dxa"/>
            <w:tcBorders>
              <w:tl2br w:val="nil"/>
              <w:tr2bl w:val="nil"/>
            </w:tcBorders>
            <w:shd w:val="clear" w:color="auto" w:fill="auto"/>
            <w:vAlign w:val="center"/>
          </w:tcPr>
          <w:p w14:paraId="26532C0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1.院前院内协同</w:t>
            </w:r>
          </w:p>
        </w:tc>
        <w:tc>
          <w:tcPr>
            <w:tcW w:w="6111" w:type="dxa"/>
            <w:tcBorders>
              <w:tl2br w:val="nil"/>
              <w:tr2bl w:val="nil"/>
            </w:tcBorders>
            <w:shd w:val="clear" w:color="auto" w:fill="auto"/>
            <w:vAlign w:val="center"/>
          </w:tcPr>
          <w:p w14:paraId="4755E274">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1、支持一键将文本、图像、语音、视频生成患者档案，保留原始信息，并支持将群聊信息合并至对应病历。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2、支持创建院际协作组，可组建本院与外院专家协作群。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3、支持患者急救信息分享功能，可将信息分享到其他协作组中。</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4、患者伤情变化时自动触发预警，及时推送至院内相关科室。</w:t>
            </w:r>
          </w:p>
        </w:tc>
      </w:tr>
      <w:tr w14:paraId="56A07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78" w:hRule="atLeast"/>
        </w:trPr>
        <w:tc>
          <w:tcPr>
            <w:tcW w:w="1191" w:type="dxa"/>
            <w:vMerge w:val="continue"/>
            <w:tcBorders>
              <w:tl2br w:val="nil"/>
              <w:tr2bl w:val="nil"/>
            </w:tcBorders>
            <w:shd w:val="clear" w:color="auto" w:fill="auto"/>
            <w:vAlign w:val="center"/>
          </w:tcPr>
          <w:p w14:paraId="0F052F24">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03DD8DE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2.院前急救信息预警联动</w:t>
            </w:r>
          </w:p>
        </w:tc>
        <w:tc>
          <w:tcPr>
            <w:tcW w:w="6111" w:type="dxa"/>
            <w:tcBorders>
              <w:tl2br w:val="nil"/>
              <w:tr2bl w:val="nil"/>
            </w:tcBorders>
            <w:shd w:val="clear" w:color="auto" w:fill="auto"/>
            <w:vAlign w:val="center"/>
          </w:tcPr>
          <w:p w14:paraId="2AB60F14">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1、支持院前智能预警医院，院内实时获取院前信息，告知终端会进行声音提醒，医院医护人员可确认并接收预警。并支持延时接收预警。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2、支持一键预警并发起MDT功能，院内急救医护人员可及时了解患者情况并提前做好急救准备工作，提高救治效率。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3、支持院前发起个人呼叫和 MDT呼叫，被呼叫人员会收到语音电话提醒查看并签到。</w:t>
            </w:r>
          </w:p>
        </w:tc>
      </w:tr>
      <w:tr w14:paraId="36F86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54" w:hRule="atLeast"/>
        </w:trPr>
        <w:tc>
          <w:tcPr>
            <w:tcW w:w="1191" w:type="dxa"/>
            <w:vMerge w:val="continue"/>
            <w:tcBorders>
              <w:tl2br w:val="nil"/>
              <w:tr2bl w:val="nil"/>
            </w:tcBorders>
            <w:shd w:val="clear" w:color="auto" w:fill="auto"/>
            <w:vAlign w:val="center"/>
          </w:tcPr>
          <w:p w14:paraId="4CB14D8D">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2D0AC8C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3.移动会诊系统</w:t>
            </w:r>
          </w:p>
        </w:tc>
        <w:tc>
          <w:tcPr>
            <w:tcW w:w="6111" w:type="dxa"/>
            <w:tcBorders>
              <w:tl2br w:val="nil"/>
              <w:tr2bl w:val="nil"/>
            </w:tcBorders>
            <w:shd w:val="clear" w:color="auto" w:fill="auto"/>
            <w:vAlign w:val="center"/>
          </w:tcPr>
          <w:p w14:paraId="017591D1">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1、院前急救团队可发起与院内专家的实时音视频会诊，支持在视频过程中静音以及切换前置、后置摄像头。</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2、支持查看远程音视频会诊的呼叫记录。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3、支持院前急救医护人员暂时退出后再次进入会诊。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4、支持参会人员输入会诊意见，且在会诊过程中可添加新会诊人员进入线上会诊。</w:t>
            </w:r>
          </w:p>
        </w:tc>
      </w:tr>
      <w:tr w14:paraId="7AE3E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8" w:hRule="atLeast"/>
        </w:trPr>
        <w:tc>
          <w:tcPr>
            <w:tcW w:w="1191" w:type="dxa"/>
            <w:vMerge w:val="continue"/>
            <w:tcBorders>
              <w:tl2br w:val="nil"/>
              <w:tr2bl w:val="nil"/>
            </w:tcBorders>
            <w:shd w:val="clear" w:color="auto" w:fill="auto"/>
            <w:vAlign w:val="center"/>
          </w:tcPr>
          <w:p w14:paraId="78E48059">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16C0698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4.患者情况一览表</w:t>
            </w:r>
          </w:p>
        </w:tc>
        <w:tc>
          <w:tcPr>
            <w:tcW w:w="6111" w:type="dxa"/>
            <w:tcBorders>
              <w:tl2br w:val="nil"/>
              <w:tr2bl w:val="nil"/>
            </w:tcBorders>
            <w:shd w:val="clear" w:color="auto" w:fill="auto"/>
            <w:vAlign w:val="center"/>
          </w:tcPr>
          <w:p w14:paraId="7EA90942">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1、支持展示转送实况，快速记录转运时间点记录。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2、支持展示患者基本信息、主诉、生命体征、评分等信息。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3、支持展示患者列表，实现全院创伤患者信息的智能切换。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4、支持院前急救团队与院内急诊急救团队进行实时音视频会诊通话。</w:t>
            </w:r>
          </w:p>
        </w:tc>
      </w:tr>
      <w:tr w14:paraId="49277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98" w:hRule="atLeast"/>
        </w:trPr>
        <w:tc>
          <w:tcPr>
            <w:tcW w:w="1191" w:type="dxa"/>
            <w:vMerge w:val="continue"/>
            <w:tcBorders>
              <w:tl2br w:val="nil"/>
              <w:tr2bl w:val="nil"/>
            </w:tcBorders>
            <w:shd w:val="clear" w:color="auto" w:fill="auto"/>
            <w:vAlign w:val="center"/>
          </w:tcPr>
          <w:p w14:paraId="5DF9E298">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4F28454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5.智能输入</w:t>
            </w:r>
          </w:p>
        </w:tc>
        <w:tc>
          <w:tcPr>
            <w:tcW w:w="6111" w:type="dxa"/>
            <w:tcBorders>
              <w:tl2br w:val="nil"/>
              <w:tr2bl w:val="nil"/>
            </w:tcBorders>
            <w:shd w:val="clear" w:color="auto" w:fill="auto"/>
            <w:vAlign w:val="center"/>
          </w:tcPr>
          <w:p w14:paraId="739A938C">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1、支持身份证图片识别，简化创建患者功能。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2、支持通过语音录入快速生成结构化电子病历，提高登记的效率。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3、支持多模态数据录入，涵盖文本、声音、视频、图片等信息，并可将这些数据合并至患者信息中，确保院前患者信息完整。</w:t>
            </w:r>
          </w:p>
        </w:tc>
      </w:tr>
    </w:tbl>
    <w:p w14:paraId="7F2A1A9B"/>
    <w:tbl>
      <w:tblPr>
        <w:tblStyle w:val="10"/>
        <w:tblW w:w="8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191"/>
        <w:gridCol w:w="1191"/>
        <w:gridCol w:w="6111"/>
      </w:tblGrid>
      <w:tr w14:paraId="2FCF7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trPr>
        <w:tc>
          <w:tcPr>
            <w:tcW w:w="1191" w:type="dxa"/>
            <w:tcBorders>
              <w:tl2br w:val="nil"/>
              <w:tr2bl w:val="nil"/>
            </w:tcBorders>
            <w:shd w:val="clear" w:color="auto" w:fill="auto"/>
            <w:vAlign w:val="center"/>
          </w:tcPr>
          <w:p w14:paraId="30715A2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服务内容</w:t>
            </w:r>
          </w:p>
        </w:tc>
        <w:tc>
          <w:tcPr>
            <w:tcW w:w="1191" w:type="dxa"/>
            <w:tcBorders>
              <w:tl2br w:val="nil"/>
              <w:tr2bl w:val="nil"/>
            </w:tcBorders>
            <w:shd w:val="clear" w:color="auto" w:fill="auto"/>
            <w:vAlign w:val="center"/>
          </w:tcPr>
          <w:p w14:paraId="66B175C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服务</w:t>
            </w:r>
            <w:r>
              <w:rPr>
                <w:rFonts w:hint="eastAsia" w:ascii="仿宋_GB2312" w:hAnsi="仿宋_GB2312" w:eastAsia="仿宋_GB2312" w:cs="仿宋_GB2312"/>
                <w:b/>
                <w:bCs/>
                <w:i w:val="0"/>
                <w:iCs w:val="0"/>
                <w:color w:val="000000"/>
                <w:sz w:val="24"/>
                <w:szCs w:val="24"/>
                <w:u w:val="none"/>
                <w:lang w:val="en-US" w:eastAsia="zh-CN"/>
              </w:rPr>
              <w:t>模块</w:t>
            </w:r>
          </w:p>
        </w:tc>
        <w:tc>
          <w:tcPr>
            <w:tcW w:w="6111" w:type="dxa"/>
            <w:tcBorders>
              <w:tl2br w:val="nil"/>
              <w:tr2bl w:val="nil"/>
            </w:tcBorders>
            <w:shd w:val="clear" w:color="auto" w:fill="auto"/>
            <w:vAlign w:val="center"/>
          </w:tcPr>
          <w:p w14:paraId="2FD4213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功能描述</w:t>
            </w:r>
          </w:p>
        </w:tc>
      </w:tr>
      <w:tr w14:paraId="17C51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2" w:hRule="atLeast"/>
        </w:trPr>
        <w:tc>
          <w:tcPr>
            <w:tcW w:w="1191" w:type="dxa"/>
            <w:tcBorders>
              <w:tl2br w:val="nil"/>
              <w:tr2bl w:val="nil"/>
            </w:tcBorders>
            <w:shd w:val="clear" w:color="auto" w:fill="auto"/>
            <w:vAlign w:val="center"/>
          </w:tcPr>
          <w:p w14:paraId="2DCF154F">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移动端</w:t>
            </w:r>
          </w:p>
        </w:tc>
        <w:tc>
          <w:tcPr>
            <w:tcW w:w="1191" w:type="dxa"/>
            <w:tcBorders>
              <w:tl2br w:val="nil"/>
              <w:tr2bl w:val="nil"/>
            </w:tcBorders>
            <w:shd w:val="clear" w:color="auto" w:fill="auto"/>
            <w:vAlign w:val="center"/>
          </w:tcPr>
          <w:p w14:paraId="483B7D0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6.急救病历填报</w:t>
            </w:r>
          </w:p>
        </w:tc>
        <w:tc>
          <w:tcPr>
            <w:tcW w:w="6111" w:type="dxa"/>
            <w:tcBorders>
              <w:tl2br w:val="nil"/>
              <w:tr2bl w:val="nil"/>
            </w:tcBorders>
            <w:shd w:val="clear" w:color="auto" w:fill="auto"/>
            <w:vAlign w:val="center"/>
          </w:tcPr>
          <w:p w14:paraId="404230DC">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1、支持通过关键字模糊检索、不同时间范围、数据状态等条件进行快速检索。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2、填报或编辑患者数据时，提供数据暂存和保存功能。暂存时只校验已填写字段的有效性和合理性，提升填写便捷性。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3、电子病历系统各模块提供缺项必填字段数提醒，对填写完整模块给予提示，可快速定位缺项。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4、提供时间节点字段逻辑校验与提示功能。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5、支持自动计算患者数据填报完整度、一键预览填写结果，同时提供 TI、GCS、ISS/AIS 评分工具。</w:t>
            </w:r>
          </w:p>
        </w:tc>
      </w:tr>
      <w:tr w14:paraId="4901F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94" w:hRule="atLeast"/>
        </w:trPr>
        <w:tc>
          <w:tcPr>
            <w:tcW w:w="1191" w:type="dxa"/>
            <w:vMerge w:val="restart"/>
            <w:tcBorders>
              <w:tl2br w:val="nil"/>
              <w:tr2bl w:val="nil"/>
            </w:tcBorders>
            <w:shd w:val="clear" w:color="auto" w:fill="auto"/>
            <w:vAlign w:val="center"/>
          </w:tcPr>
          <w:p w14:paraId="47AE8D5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电脑端</w:t>
            </w:r>
          </w:p>
        </w:tc>
        <w:tc>
          <w:tcPr>
            <w:tcW w:w="1191" w:type="dxa"/>
            <w:tcBorders>
              <w:tl2br w:val="nil"/>
              <w:tr2bl w:val="nil"/>
            </w:tcBorders>
            <w:shd w:val="clear" w:color="auto" w:fill="auto"/>
            <w:vAlign w:val="center"/>
          </w:tcPr>
          <w:p w14:paraId="7860E7F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1.院前院内协同</w:t>
            </w:r>
          </w:p>
        </w:tc>
        <w:tc>
          <w:tcPr>
            <w:tcW w:w="6111" w:type="dxa"/>
            <w:tcBorders>
              <w:tl2br w:val="nil"/>
              <w:tr2bl w:val="nil"/>
            </w:tcBorders>
            <w:shd w:val="clear" w:color="auto" w:fill="auto"/>
            <w:vAlign w:val="center"/>
          </w:tcPr>
          <w:p w14:paraId="425BFAA9">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1、支持一键将文本、图像、语音、视频生成患者档案，保留原始信息，并支持将群聊信息合并至对应病历。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2、支持实时获取院前急救团队和院内医护人员提交的患者信息，提前准备医疗资源。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3、支持创建院际协作组，可组建本院与外院专家协作群。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4、支持分享功能，患者急救信息可以分享到多个协作组中，为远程会诊提供支持。</w:t>
            </w:r>
          </w:p>
        </w:tc>
      </w:tr>
      <w:tr w14:paraId="7F622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11" w:hRule="atLeast"/>
        </w:trPr>
        <w:tc>
          <w:tcPr>
            <w:tcW w:w="1191" w:type="dxa"/>
            <w:vMerge w:val="continue"/>
            <w:tcBorders>
              <w:tl2br w:val="nil"/>
              <w:tr2bl w:val="nil"/>
            </w:tcBorders>
            <w:shd w:val="clear" w:color="auto" w:fill="auto"/>
            <w:vAlign w:val="center"/>
          </w:tcPr>
          <w:p w14:paraId="7D31EA72">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7CEED92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2.院前院内预警联动</w:t>
            </w:r>
          </w:p>
        </w:tc>
        <w:tc>
          <w:tcPr>
            <w:tcW w:w="6111" w:type="dxa"/>
            <w:tcBorders>
              <w:tl2br w:val="nil"/>
              <w:tr2bl w:val="nil"/>
            </w:tcBorders>
            <w:shd w:val="clear" w:color="auto" w:fill="auto"/>
            <w:vAlign w:val="center"/>
          </w:tcPr>
          <w:p w14:paraId="7FDBD5C3">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1、支持实时接收院前智能预警信息，院内告知终端会收到声音提醒，医院医护人员可确认并接收预警。并支持延时接收预警。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2、支持院内发起个人呼叫和MDT呼叫功能，通知其他科室医生进行会诊。被呼叫人员会收到语音电话提醒查看并签到。</w:t>
            </w:r>
          </w:p>
        </w:tc>
      </w:tr>
      <w:tr w14:paraId="0FD63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1" w:hRule="atLeast"/>
        </w:trPr>
        <w:tc>
          <w:tcPr>
            <w:tcW w:w="1191" w:type="dxa"/>
            <w:vMerge w:val="continue"/>
            <w:tcBorders>
              <w:tl2br w:val="nil"/>
              <w:tr2bl w:val="nil"/>
            </w:tcBorders>
            <w:shd w:val="clear" w:color="auto" w:fill="auto"/>
            <w:vAlign w:val="center"/>
          </w:tcPr>
          <w:p w14:paraId="5494E110">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228F89F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3.远程会诊系统</w:t>
            </w:r>
          </w:p>
        </w:tc>
        <w:tc>
          <w:tcPr>
            <w:tcW w:w="6111" w:type="dxa"/>
            <w:tcBorders>
              <w:tl2br w:val="nil"/>
              <w:tr2bl w:val="nil"/>
            </w:tcBorders>
            <w:shd w:val="clear" w:color="auto" w:fill="auto"/>
            <w:vAlign w:val="center"/>
          </w:tcPr>
          <w:p w14:paraId="2E5EF7AE">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1、支持院前急救团队与院内急诊急救团队进行实时音视频会诊通话。</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2、支持查看远程音视频会诊的呼叫记录。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3、支持暂时退出后再次进入会诊，且支持参会人员输入会诊意见。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4、支持会诊过程中添加新的会诊人员进入线上会诊。</w:t>
            </w:r>
          </w:p>
        </w:tc>
      </w:tr>
      <w:tr w14:paraId="40A51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8" w:hRule="atLeast"/>
        </w:trPr>
        <w:tc>
          <w:tcPr>
            <w:tcW w:w="1191" w:type="dxa"/>
            <w:vMerge w:val="continue"/>
            <w:tcBorders>
              <w:tl2br w:val="nil"/>
              <w:tr2bl w:val="nil"/>
            </w:tcBorders>
            <w:shd w:val="clear" w:color="auto" w:fill="auto"/>
            <w:vAlign w:val="center"/>
          </w:tcPr>
          <w:p w14:paraId="422A20A4">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40EE432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4.急救电子病历系统</w:t>
            </w:r>
          </w:p>
        </w:tc>
        <w:tc>
          <w:tcPr>
            <w:tcW w:w="6111" w:type="dxa"/>
            <w:tcBorders>
              <w:tl2br w:val="nil"/>
              <w:tr2bl w:val="nil"/>
            </w:tcBorders>
            <w:shd w:val="clear" w:color="auto" w:fill="auto"/>
            <w:vAlign w:val="center"/>
          </w:tcPr>
          <w:p w14:paraId="6D78D3BB">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1、支持录入创伤患者的基本信息、院前急救电子病历信息、门急诊信息、住院信息等。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2、支持查看创伤患者的TI评分、GCS评分和ISS/AIS评分结果和明细。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3、在病历系统中可直观查看患者时间轴，自动归集并展示全流程关键救治节点信息，同时展示国家创伤医学中心要求的19 项质控指标结果。</w:t>
            </w:r>
          </w:p>
        </w:tc>
      </w:tr>
    </w:tbl>
    <w:p w14:paraId="16B17437"/>
    <w:tbl>
      <w:tblPr>
        <w:tblStyle w:val="10"/>
        <w:tblW w:w="8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191"/>
        <w:gridCol w:w="1191"/>
        <w:gridCol w:w="6111"/>
      </w:tblGrid>
      <w:tr w14:paraId="150D7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1191" w:type="dxa"/>
            <w:tcBorders>
              <w:tl2br w:val="nil"/>
              <w:tr2bl w:val="nil"/>
            </w:tcBorders>
            <w:shd w:val="clear" w:color="auto" w:fill="auto"/>
            <w:vAlign w:val="center"/>
          </w:tcPr>
          <w:p w14:paraId="7315F2F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服务内容</w:t>
            </w:r>
          </w:p>
        </w:tc>
        <w:tc>
          <w:tcPr>
            <w:tcW w:w="1191" w:type="dxa"/>
            <w:tcBorders>
              <w:tl2br w:val="nil"/>
              <w:tr2bl w:val="nil"/>
            </w:tcBorders>
            <w:shd w:val="clear" w:color="auto" w:fill="auto"/>
            <w:vAlign w:val="center"/>
          </w:tcPr>
          <w:p w14:paraId="6AA4908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服务</w:t>
            </w:r>
            <w:r>
              <w:rPr>
                <w:rFonts w:hint="eastAsia" w:ascii="仿宋_GB2312" w:hAnsi="仿宋_GB2312" w:eastAsia="仿宋_GB2312" w:cs="仿宋_GB2312"/>
                <w:b/>
                <w:bCs/>
                <w:i w:val="0"/>
                <w:iCs w:val="0"/>
                <w:color w:val="000000"/>
                <w:sz w:val="24"/>
                <w:szCs w:val="24"/>
                <w:u w:val="none"/>
                <w:lang w:val="en-US" w:eastAsia="zh-CN"/>
              </w:rPr>
              <w:t>模块</w:t>
            </w:r>
          </w:p>
        </w:tc>
        <w:tc>
          <w:tcPr>
            <w:tcW w:w="6111" w:type="dxa"/>
            <w:tcBorders>
              <w:tl2br w:val="nil"/>
              <w:tr2bl w:val="nil"/>
            </w:tcBorders>
            <w:shd w:val="clear" w:color="auto" w:fill="auto"/>
            <w:vAlign w:val="center"/>
          </w:tcPr>
          <w:p w14:paraId="7DD9F16E">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功能描述</w:t>
            </w:r>
          </w:p>
        </w:tc>
      </w:tr>
      <w:tr w14:paraId="0C89F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65" w:hRule="atLeast"/>
        </w:trPr>
        <w:tc>
          <w:tcPr>
            <w:tcW w:w="1191" w:type="dxa"/>
            <w:vMerge w:val="restart"/>
            <w:tcBorders>
              <w:tl2br w:val="nil"/>
              <w:tr2bl w:val="nil"/>
            </w:tcBorders>
            <w:shd w:val="clear" w:color="auto" w:fill="auto"/>
            <w:vAlign w:val="center"/>
          </w:tcPr>
          <w:p w14:paraId="1FD1EB3F">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电脑端</w:t>
            </w:r>
          </w:p>
        </w:tc>
        <w:tc>
          <w:tcPr>
            <w:tcW w:w="1191" w:type="dxa"/>
            <w:tcBorders>
              <w:tl2br w:val="nil"/>
              <w:tr2bl w:val="nil"/>
            </w:tcBorders>
            <w:shd w:val="clear" w:color="auto" w:fill="auto"/>
            <w:vAlign w:val="center"/>
          </w:tcPr>
          <w:p w14:paraId="2536624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5.评分工具</w:t>
            </w:r>
          </w:p>
        </w:tc>
        <w:tc>
          <w:tcPr>
            <w:tcW w:w="6111" w:type="dxa"/>
            <w:tcBorders>
              <w:tl2br w:val="nil"/>
              <w:tr2bl w:val="nil"/>
            </w:tcBorders>
            <w:shd w:val="clear" w:color="auto" w:fill="auto"/>
            <w:vAlign w:val="center"/>
          </w:tcPr>
          <w:p w14:paraId="2DF6A861">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1、提供创伤患者院前使用的TI评分、GCS评分工具。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2、提供院内医生使用的ISS/AIS评分工具，支持多次评估。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3、支持所有评分工具快速点选评分项，将不同分级的评估结果用不同颜色高亮展示。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4、所有创伤评分工具均支持新增、查看、编辑、删除的功能。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5、支持快速配置其他可能需要的创伤评分工具。</w:t>
            </w:r>
          </w:p>
        </w:tc>
      </w:tr>
      <w:tr w14:paraId="7CB91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66" w:hRule="atLeast"/>
        </w:trPr>
        <w:tc>
          <w:tcPr>
            <w:tcW w:w="1191" w:type="dxa"/>
            <w:vMerge w:val="continue"/>
            <w:tcBorders>
              <w:tl2br w:val="nil"/>
              <w:tr2bl w:val="nil"/>
            </w:tcBorders>
            <w:shd w:val="clear" w:color="auto" w:fill="auto"/>
            <w:vAlign w:val="center"/>
          </w:tcPr>
          <w:p w14:paraId="35D0AE98">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0A8C671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6.创伤病例上报系统</w:t>
            </w:r>
          </w:p>
        </w:tc>
        <w:tc>
          <w:tcPr>
            <w:tcW w:w="6111" w:type="dxa"/>
            <w:tcBorders>
              <w:tl2br w:val="nil"/>
              <w:tr2bl w:val="nil"/>
            </w:tcBorders>
            <w:shd w:val="clear" w:color="auto" w:fill="auto"/>
            <w:vAlign w:val="center"/>
          </w:tcPr>
          <w:p w14:paraId="45F598D4">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1、支持常用条件快速检索，涵盖关键字模糊检索、不同时间范围、严重创伤病人及病人分类等；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2、支持高级查询功能，支持系统全变量字段条件或条件组的与、或、非组合查询，不同字段类型（文本、数值）对应不同检索关系。</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3、可将高级检索常用条件保存为模板，实现一键快速调用搜索。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4、支持填报或编辑患者数据的暂存和保存功能，暂存仅校验已填字段，便于快速填写。</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5、电子病历各模块提供缺项必填字段数提醒与填写完整提示，还具备时间节点字段先后逻辑校验与提示。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6、提取患者关键诊疗时间节点生成时间轴，支持时间轴收起、展开等操作。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7、支持按照数据状态分别展示患者数据，并支持批量上报操作。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8、支持自动计算并展示患者数据填报完整度，同时支持一键预览填写结果，方便自查是否符合上报要求。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9、支持查看已上报及上报失败的数据，并支持二次上报。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10、支持与国家创伤医学中心数据库进行上报对接。</w:t>
            </w:r>
          </w:p>
        </w:tc>
      </w:tr>
      <w:tr w14:paraId="669C4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35" w:hRule="atLeast"/>
        </w:trPr>
        <w:tc>
          <w:tcPr>
            <w:tcW w:w="1191" w:type="dxa"/>
            <w:vMerge w:val="continue"/>
            <w:tcBorders>
              <w:tl2br w:val="nil"/>
              <w:tr2bl w:val="nil"/>
            </w:tcBorders>
            <w:shd w:val="clear" w:color="auto" w:fill="auto"/>
            <w:vAlign w:val="center"/>
          </w:tcPr>
          <w:p w14:paraId="51CCBA9F">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26F6719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7.质控管理系统</w:t>
            </w:r>
          </w:p>
        </w:tc>
        <w:tc>
          <w:tcPr>
            <w:tcW w:w="6111" w:type="dxa"/>
            <w:tcBorders>
              <w:tl2br w:val="nil"/>
              <w:tr2bl w:val="nil"/>
            </w:tcBorders>
            <w:shd w:val="clear" w:color="auto" w:fill="auto"/>
            <w:vAlign w:val="center"/>
          </w:tcPr>
          <w:p w14:paraId="7EEF100A">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1、一览展示19项创伤质控指标（《创伤中心医疗质量控制指标（试行）》），统计本院上周或特定时间段的质控指标。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2、针对分钟计算结果类的指标，统计对应的平均值和中位数。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3、支持统计指标与国家创伤医学中心的平均值、本医院所在省份平均值、本医院所在市平均值进行对比，对比结果支持高亮提示。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4、支持将19项质控指标以图片或表格的形式导出。</w:t>
            </w:r>
          </w:p>
        </w:tc>
      </w:tr>
      <w:tr w14:paraId="5B68E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trPr>
        <w:tc>
          <w:tcPr>
            <w:tcW w:w="1191" w:type="dxa"/>
            <w:vMerge w:val="continue"/>
            <w:tcBorders>
              <w:tl2br w:val="nil"/>
              <w:tr2bl w:val="nil"/>
            </w:tcBorders>
            <w:shd w:val="clear" w:color="auto" w:fill="auto"/>
            <w:vAlign w:val="center"/>
          </w:tcPr>
          <w:p w14:paraId="6660581D">
            <w:pPr>
              <w:jc w:val="center"/>
              <w:rPr>
                <w:rFonts w:hint="eastAsia" w:ascii="仿宋_GB2312" w:hAnsi="仿宋_GB2312" w:eastAsia="仿宋_GB2312" w:cs="仿宋_GB2312"/>
                <w:i w:val="0"/>
                <w:iCs w:val="0"/>
                <w:color w:val="000000"/>
                <w:sz w:val="24"/>
                <w:szCs w:val="24"/>
                <w:u w:val="none"/>
              </w:rPr>
            </w:pPr>
            <w:bookmarkStart w:id="1" w:name="_Toc2149"/>
          </w:p>
        </w:tc>
        <w:tc>
          <w:tcPr>
            <w:tcW w:w="1191" w:type="dxa"/>
            <w:tcBorders>
              <w:tl2br w:val="nil"/>
              <w:tr2bl w:val="nil"/>
            </w:tcBorders>
            <w:shd w:val="clear" w:color="auto" w:fill="auto"/>
            <w:vAlign w:val="center"/>
          </w:tcPr>
          <w:p w14:paraId="42FAB01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8.基本周报</w:t>
            </w:r>
          </w:p>
        </w:tc>
        <w:tc>
          <w:tcPr>
            <w:tcW w:w="6111" w:type="dxa"/>
            <w:tcBorders>
              <w:tl2br w:val="nil"/>
              <w:tr2bl w:val="nil"/>
            </w:tcBorders>
            <w:shd w:val="clear" w:color="auto" w:fill="auto"/>
            <w:vAlign w:val="center"/>
          </w:tcPr>
          <w:p w14:paraId="7B83D395">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1、支持展示与统计分析患者上报数据，按规格呈现每周上报数据量及总体质量。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2、支持在周报中展示全国排名和省排名。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3、支持按年、月、周检索时间范围内的周报数据。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4、支持查看历史不同周期周报的变化趋势，趋势图支持放大、下载、图标切换等功能。</w:t>
            </w:r>
          </w:p>
        </w:tc>
      </w:tr>
      <w:tr w14:paraId="52D5A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trPr>
        <w:tc>
          <w:tcPr>
            <w:tcW w:w="1191" w:type="dxa"/>
            <w:tcBorders>
              <w:tl2br w:val="nil"/>
              <w:tr2bl w:val="nil"/>
            </w:tcBorders>
            <w:shd w:val="clear" w:color="auto" w:fill="auto"/>
            <w:vAlign w:val="center"/>
          </w:tcPr>
          <w:p w14:paraId="13DCD67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服务内容</w:t>
            </w:r>
          </w:p>
        </w:tc>
        <w:tc>
          <w:tcPr>
            <w:tcW w:w="1191" w:type="dxa"/>
            <w:tcBorders>
              <w:tl2br w:val="nil"/>
              <w:tr2bl w:val="nil"/>
            </w:tcBorders>
            <w:shd w:val="clear" w:color="auto" w:fill="auto"/>
            <w:vAlign w:val="center"/>
          </w:tcPr>
          <w:p w14:paraId="4982425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服务</w:t>
            </w:r>
            <w:r>
              <w:rPr>
                <w:rFonts w:hint="eastAsia" w:ascii="仿宋_GB2312" w:hAnsi="仿宋_GB2312" w:eastAsia="仿宋_GB2312" w:cs="仿宋_GB2312"/>
                <w:b/>
                <w:bCs/>
                <w:i w:val="0"/>
                <w:iCs w:val="0"/>
                <w:color w:val="000000"/>
                <w:sz w:val="24"/>
                <w:szCs w:val="24"/>
                <w:u w:val="none"/>
                <w:lang w:val="en-US" w:eastAsia="zh-CN"/>
              </w:rPr>
              <w:t>模块</w:t>
            </w:r>
          </w:p>
        </w:tc>
        <w:tc>
          <w:tcPr>
            <w:tcW w:w="6111" w:type="dxa"/>
            <w:tcBorders>
              <w:tl2br w:val="nil"/>
              <w:tr2bl w:val="nil"/>
            </w:tcBorders>
            <w:shd w:val="clear" w:color="auto" w:fill="auto"/>
            <w:vAlign w:val="center"/>
          </w:tcPr>
          <w:p w14:paraId="35CA9E2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功能描述</w:t>
            </w:r>
          </w:p>
        </w:tc>
      </w:tr>
      <w:tr w14:paraId="70904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trPr>
        <w:tc>
          <w:tcPr>
            <w:tcW w:w="1191" w:type="dxa"/>
            <w:tcBorders>
              <w:tl2br w:val="nil"/>
              <w:tr2bl w:val="nil"/>
            </w:tcBorders>
            <w:shd w:val="clear" w:color="auto" w:fill="auto"/>
            <w:vAlign w:val="center"/>
          </w:tcPr>
          <w:p w14:paraId="44C845C5">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电脑端</w:t>
            </w:r>
          </w:p>
        </w:tc>
        <w:tc>
          <w:tcPr>
            <w:tcW w:w="1191" w:type="dxa"/>
            <w:tcBorders>
              <w:tl2br w:val="nil"/>
              <w:tr2bl w:val="nil"/>
            </w:tcBorders>
            <w:shd w:val="clear" w:color="auto" w:fill="auto"/>
            <w:vAlign w:val="center"/>
          </w:tcPr>
          <w:p w14:paraId="71B04BF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9.预警记录</w:t>
            </w:r>
          </w:p>
        </w:tc>
        <w:tc>
          <w:tcPr>
            <w:tcW w:w="6111" w:type="dxa"/>
            <w:tcBorders>
              <w:tl2br w:val="nil"/>
              <w:tr2bl w:val="nil"/>
            </w:tcBorders>
            <w:shd w:val="clear" w:color="auto" w:fill="auto"/>
            <w:vAlign w:val="center"/>
          </w:tcPr>
          <w:p w14:paraId="78275BCB">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1、支持查看历史预警记录、呼叫MDT记录、会诊记录。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2、支持对时效内的预警和历史呼叫记录进行操作；对时效外的呼叫MDT进行补签操作。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3、支持查看历史记录的接听和签到状态。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4、支持填写音视频记录的会诊意见功能。</w:t>
            </w:r>
          </w:p>
        </w:tc>
      </w:tr>
    </w:tbl>
    <w:p w14:paraId="31872957">
      <w:pPr>
        <w:pStyle w:val="2"/>
        <w:numPr>
          <w:ilvl w:val="0"/>
          <w:numId w:val="4"/>
        </w:numPr>
        <w:spacing w:line="720" w:lineRule="auto"/>
        <w:ind w:left="0" w:leftChars="0"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商务要求</w:t>
      </w:r>
    </w:p>
    <w:bookmarkEnd w:id="1"/>
    <w:p w14:paraId="3B8EFD80">
      <w:pPr>
        <w:pStyle w:val="3"/>
        <w:numPr>
          <w:ilvl w:val="0"/>
          <w:numId w:val="6"/>
        </w:numPr>
        <w:bidi w:val="0"/>
        <w:ind w:left="0" w:leftChars="0"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产品要求、安装标准</w:t>
      </w:r>
    </w:p>
    <w:p w14:paraId="41AF163D">
      <w:pPr>
        <w:pStyle w:val="4"/>
        <w:numPr>
          <w:ilvl w:val="0"/>
          <w:numId w:val="7"/>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产品须是按厂家出厂标准配置提供的整套全新产品，无侵权行为、无任何缺陷隐患，具备正规合法经销渠道，符合国</w:t>
      </w:r>
      <w:r>
        <w:rPr>
          <w:rFonts w:hint="eastAsia" w:ascii="仿宋_GB2312" w:hAnsi="仿宋_GB2312" w:eastAsia="仿宋_GB2312" w:cs="仿宋_GB2312"/>
          <w:sz w:val="28"/>
          <w:szCs w:val="28"/>
          <w:lang w:val="en-US" w:eastAsia="zh-CN"/>
        </w:rPr>
        <w:t>家</w:t>
      </w:r>
      <w:r>
        <w:rPr>
          <w:rFonts w:hint="eastAsia" w:ascii="仿宋_GB2312" w:hAnsi="仿宋_GB2312" w:eastAsia="仿宋_GB2312" w:cs="仿宋_GB2312"/>
          <w:sz w:val="28"/>
          <w:szCs w:val="28"/>
        </w:rPr>
        <w:t>相关标准和我国相关检测标准要求的全新合格产品。相关产品、服务及安装须满足本项目采购需求。</w:t>
      </w:r>
    </w:p>
    <w:p w14:paraId="05A90C08">
      <w:pPr>
        <w:pStyle w:val="4"/>
        <w:numPr>
          <w:ilvl w:val="0"/>
          <w:numId w:val="7"/>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安装标准：符合国家相关标准、行业标准、地方标准或者其他标准、规范。</w:t>
      </w:r>
    </w:p>
    <w:p w14:paraId="02ECCF62">
      <w:pPr>
        <w:pStyle w:val="3"/>
        <w:numPr>
          <w:ilvl w:val="0"/>
          <w:numId w:val="6"/>
        </w:numPr>
        <w:bidi w:val="0"/>
        <w:ind w:left="0" w:leftChars="0"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服务费用</w:t>
      </w:r>
    </w:p>
    <w:p w14:paraId="343A1117">
      <w:pPr>
        <w:pStyle w:val="4"/>
        <w:numPr>
          <w:ilvl w:val="0"/>
          <w:numId w:val="8"/>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服务费用为完成采购人指定内容的整体全部价格，包括但不限于以下内容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系统的上线运行、调试、培训、技术支持、售后服务费等</w:t>
      </w:r>
      <w:r>
        <w:rPr>
          <w:rFonts w:hint="eastAsia" w:ascii="仿宋_GB2312" w:hAnsi="仿宋_GB2312" w:eastAsia="仿宋_GB2312" w:cs="仿宋_GB2312"/>
          <w:sz w:val="28"/>
          <w:szCs w:val="28"/>
          <w:lang w:eastAsia="zh-CN"/>
        </w:rPr>
        <w:t>。</w:t>
      </w:r>
    </w:p>
    <w:p w14:paraId="21C75D88">
      <w:pPr>
        <w:pStyle w:val="4"/>
        <w:numPr>
          <w:ilvl w:val="0"/>
          <w:numId w:val="8"/>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软件、技术服务、系统研发所需的专用工具、标准附件、备品备件、安装、调试等完成上述本项目内容所需的一切费用，采购人不再支付服务费用以外的任何费用。</w:t>
      </w:r>
    </w:p>
    <w:p w14:paraId="1EB0F0AF">
      <w:pPr>
        <w:pStyle w:val="3"/>
        <w:numPr>
          <w:ilvl w:val="0"/>
          <w:numId w:val="6"/>
        </w:numPr>
        <w:bidi w:val="0"/>
        <w:ind w:left="0" w:leftChars="0" w:firstLine="562" w:firstLineChars="200"/>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bCs w:val="0"/>
          <w:sz w:val="28"/>
          <w:szCs w:val="28"/>
          <w:lang w:eastAsia="zh-CN"/>
        </w:rPr>
        <w:t>知识产权</w:t>
      </w:r>
    </w:p>
    <w:p w14:paraId="25F7041D">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承诺投标产品无知识产权、专利、专有技术等方面纠纷，</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须对响应文件内容所涉及的专利、专有技术、知识产权承担法律责任，并负责保护采购人的利益不受任何损害。一切由于文字、商标、技术和软件产权专利授权引起的法律裁决、诉讼和赔偿费用均由成交供应商负责。同时，具有产品</w:t>
      </w:r>
      <w:r>
        <w:rPr>
          <w:rFonts w:hint="eastAsia" w:ascii="仿宋_GB2312" w:hAnsi="仿宋_GB2312" w:eastAsia="仿宋_GB2312" w:cs="仿宋_GB2312"/>
          <w:sz w:val="28"/>
          <w:szCs w:val="28"/>
          <w:lang w:val="en-US" w:eastAsia="zh-CN"/>
        </w:rPr>
        <w:t>知识产权包括如专利、软著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专有技术的</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应在其响应文件中提供与其自有产品</w:t>
      </w:r>
      <w:r>
        <w:rPr>
          <w:rFonts w:hint="eastAsia" w:ascii="仿宋_GB2312" w:hAnsi="仿宋_GB2312" w:eastAsia="仿宋_GB2312" w:cs="仿宋_GB2312"/>
          <w:sz w:val="28"/>
          <w:szCs w:val="28"/>
          <w:lang w:val="en-US" w:eastAsia="zh-CN"/>
        </w:rPr>
        <w:t>所持有的知识</w:t>
      </w:r>
      <w:r>
        <w:rPr>
          <w:rFonts w:hint="eastAsia" w:ascii="仿宋_GB2312" w:hAnsi="仿宋_GB2312" w:eastAsia="仿宋_GB2312" w:cs="仿宋_GB2312"/>
          <w:sz w:val="28"/>
          <w:szCs w:val="28"/>
        </w:rPr>
        <w:t>产权、专有技术相关的有效证明材料，否则，不能就其产品的</w:t>
      </w:r>
      <w:r>
        <w:rPr>
          <w:rFonts w:hint="eastAsia" w:ascii="仿宋_GB2312" w:hAnsi="仿宋_GB2312" w:eastAsia="仿宋_GB2312" w:cs="仿宋_GB2312"/>
          <w:sz w:val="28"/>
          <w:szCs w:val="28"/>
          <w:lang w:val="en-US" w:eastAsia="zh-CN"/>
        </w:rPr>
        <w:t>知识</w:t>
      </w:r>
      <w:r>
        <w:rPr>
          <w:rFonts w:hint="eastAsia" w:ascii="仿宋_GB2312" w:hAnsi="仿宋_GB2312" w:eastAsia="仿宋_GB2312" w:cs="仿宋_GB2312"/>
          <w:sz w:val="28"/>
          <w:szCs w:val="28"/>
        </w:rPr>
        <w:t>产权</w:t>
      </w:r>
      <w:r>
        <w:rPr>
          <w:rFonts w:hint="eastAsia" w:ascii="仿宋_GB2312" w:hAnsi="仿宋_GB2312" w:eastAsia="仿宋_GB2312" w:cs="仿宋_GB2312"/>
          <w:sz w:val="28"/>
          <w:szCs w:val="28"/>
          <w:lang w:val="en-US" w:eastAsia="zh-CN"/>
        </w:rPr>
        <w:t>如</w:t>
      </w:r>
      <w:r>
        <w:rPr>
          <w:rFonts w:hint="eastAsia" w:ascii="仿宋_GB2312" w:hAnsi="仿宋_GB2312" w:eastAsia="仿宋_GB2312" w:cs="仿宋_GB2312"/>
          <w:sz w:val="28"/>
          <w:szCs w:val="28"/>
        </w:rPr>
        <w:t>专利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软著</w:t>
      </w:r>
      <w:r>
        <w:rPr>
          <w:rFonts w:hint="eastAsia" w:ascii="仿宋_GB2312" w:hAnsi="仿宋_GB2312" w:eastAsia="仿宋_GB2312" w:cs="仿宋_GB2312"/>
          <w:sz w:val="28"/>
          <w:szCs w:val="28"/>
        </w:rPr>
        <w:t>、专有技术在本项目采购过程中被侵权问题而提出异议。</w:t>
      </w:r>
    </w:p>
    <w:p w14:paraId="78AB9A89">
      <w:pPr>
        <w:pStyle w:val="3"/>
        <w:numPr>
          <w:ilvl w:val="0"/>
          <w:numId w:val="6"/>
        </w:numPr>
        <w:bidi w:val="0"/>
        <w:ind w:left="0" w:leftChars="0"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售后服务</w:t>
      </w:r>
    </w:p>
    <w:p w14:paraId="6143F976">
      <w:pPr>
        <w:pStyle w:val="4"/>
        <w:numPr>
          <w:ilvl w:val="0"/>
          <w:numId w:val="9"/>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故障响应：服务期内，所有产品保修服务方式均为由产品生产厂家或厂家指派专业人员远程维护，</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有责任为用户方提供维修服务和技术支持。</w:t>
      </w:r>
    </w:p>
    <w:p w14:paraId="74D47562">
      <w:pPr>
        <w:pStyle w:val="4"/>
        <w:numPr>
          <w:ilvl w:val="0"/>
          <w:numId w:val="9"/>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服务期内出现不能明确的故障时，或在收到采购人紧急情况维修通知后，</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指定的售后服务人员应在1小时内做出响应，提供远程技术支持。一般问题2小时内解决；较大问题在4小时以内解决；重大问题4小时内提出解决方案，并在24小时内解决。</w:t>
      </w:r>
    </w:p>
    <w:p w14:paraId="2DBE61F8">
      <w:pPr>
        <w:pStyle w:val="4"/>
        <w:numPr>
          <w:ilvl w:val="0"/>
          <w:numId w:val="9"/>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服务期内，</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免费提供该项目的软件系统升级服务以及维修与技术支持。</w:t>
      </w:r>
    </w:p>
    <w:p w14:paraId="64AE1AC2">
      <w:pPr>
        <w:pStyle w:val="4"/>
        <w:numPr>
          <w:ilvl w:val="0"/>
          <w:numId w:val="9"/>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技术培训：免费提供人员的培训，包括但不限于操作培训</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面对面培训。免费培训或通过远程指导操作人员至熟悉为止。</w:t>
      </w:r>
    </w:p>
    <w:p w14:paraId="6BE3AED6">
      <w:pPr>
        <w:pStyle w:val="4"/>
        <w:numPr>
          <w:ilvl w:val="0"/>
          <w:numId w:val="9"/>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信息安全保证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统的安全性和保密性必须严格遵循相关信息安全标准，切实保证在系统使用的各个环节均能最大限度保障信息安全，杜绝各类漏洞及错误的出现。系统安全、应用、运维同步设计、同步建设、同步应用、同步验收，系统整体方案必须确保系统安全可靠，满足采购人7*24小时运行要求。</w:t>
      </w:r>
    </w:p>
    <w:p w14:paraId="2AFE4DCA">
      <w:pPr>
        <w:pStyle w:val="4"/>
        <w:numPr>
          <w:ilvl w:val="0"/>
          <w:numId w:val="9"/>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免费提供每周7天，每天24小时不间断的电话支持服务，解答采购人在系统使用、维护过程中遇到的问题，并及时提出解决问题的建议和操作方法；</w:t>
      </w:r>
    </w:p>
    <w:p w14:paraId="7C7DF0E7">
      <w:pPr>
        <w:pStyle w:val="4"/>
        <w:numPr>
          <w:ilvl w:val="0"/>
          <w:numId w:val="9"/>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每季度不定期线下或线上回访、维护。</w:t>
      </w:r>
    </w:p>
    <w:p w14:paraId="5E2DF1B6">
      <w:pPr>
        <w:pStyle w:val="3"/>
        <w:numPr>
          <w:ilvl w:val="0"/>
          <w:numId w:val="6"/>
        </w:numPr>
        <w:bidi w:val="0"/>
        <w:ind w:left="0" w:leftChars="0"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交货与结算</w:t>
      </w:r>
    </w:p>
    <w:p w14:paraId="326D3B80">
      <w:pPr>
        <w:pStyle w:val="4"/>
        <w:numPr>
          <w:ilvl w:val="0"/>
          <w:numId w:val="10"/>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交货时间及地点</w:t>
      </w:r>
    </w:p>
    <w:p w14:paraId="7093A132">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交货时间：自签订合同之日起，30个日历日内完成系统的正式上线运行和交付使用。</w:t>
      </w:r>
    </w:p>
    <w:p w14:paraId="4310A910">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交货地点：采购人指定地点。</w:t>
      </w:r>
    </w:p>
    <w:p w14:paraId="1476D9BE">
      <w:pPr>
        <w:pStyle w:val="4"/>
        <w:numPr>
          <w:ilvl w:val="0"/>
          <w:numId w:val="10"/>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结算方法</w:t>
      </w:r>
    </w:p>
    <w:p w14:paraId="3274F100">
      <w:pPr>
        <w:ind w:firstLine="48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付款方式：一次性支付服务费</w:t>
      </w:r>
      <w:r>
        <w:rPr>
          <w:rFonts w:hint="eastAsia" w:ascii="仿宋_GB2312" w:hAnsi="仿宋_GB2312" w:eastAsia="仿宋_GB2312" w:cs="仿宋_GB2312"/>
          <w:spacing w:val="-1"/>
          <w:sz w:val="28"/>
          <w:szCs w:val="28"/>
          <w:u w:val="single" w:color="auto"/>
        </w:rPr>
        <w:t>¥</w:t>
      </w:r>
      <w:r>
        <w:rPr>
          <w:rFonts w:hint="eastAsia" w:ascii="仿宋_GB2312" w:hAnsi="仿宋_GB2312" w:eastAsia="仿宋_GB2312" w:cs="仿宋_GB2312"/>
          <w:spacing w:val="-1"/>
          <w:sz w:val="28"/>
          <w:szCs w:val="28"/>
          <w:u w:val="single" w:color="auto"/>
          <w:lang w:val="en-US" w:eastAsia="zh-CN"/>
        </w:rPr>
        <w:t>6</w:t>
      </w:r>
      <w:r>
        <w:rPr>
          <w:rFonts w:hint="eastAsia" w:ascii="仿宋_GB2312" w:hAnsi="仿宋_GB2312" w:eastAsia="仿宋_GB2312" w:cs="仿宋_GB2312"/>
          <w:spacing w:val="-1"/>
          <w:sz w:val="28"/>
          <w:szCs w:val="28"/>
          <w:u w:val="single" w:color="auto"/>
        </w:rPr>
        <w:t>0,000.00</w:t>
      </w:r>
      <w:r>
        <w:rPr>
          <w:rFonts w:hint="eastAsia" w:ascii="仿宋_GB2312" w:hAnsi="仿宋_GB2312" w:eastAsia="仿宋_GB2312" w:cs="仿宋_GB2312"/>
          <w:spacing w:val="-1"/>
          <w:sz w:val="28"/>
          <w:szCs w:val="28"/>
          <w:u w:val="none" w:color="auto"/>
        </w:rPr>
        <w:t>（</w:t>
      </w:r>
      <w:r>
        <w:rPr>
          <w:rFonts w:hint="eastAsia" w:ascii="仿宋_GB2312" w:hAnsi="仿宋_GB2312" w:eastAsia="仿宋_GB2312" w:cs="仿宋_GB2312"/>
          <w:spacing w:val="-1"/>
          <w:sz w:val="28"/>
          <w:szCs w:val="28"/>
          <w:u w:val="none" w:color="auto"/>
          <w:lang w:val="en-US" w:eastAsia="zh-CN"/>
        </w:rPr>
        <w:t>大写：</w:t>
      </w:r>
      <w:r>
        <w:rPr>
          <w:rFonts w:hint="eastAsia" w:ascii="仿宋_GB2312" w:hAnsi="仿宋_GB2312" w:eastAsia="仿宋_GB2312" w:cs="仿宋_GB2312"/>
          <w:spacing w:val="-1"/>
          <w:sz w:val="28"/>
          <w:szCs w:val="28"/>
          <w:u w:val="single" w:color="auto"/>
        </w:rPr>
        <w:t>人民币</w:t>
      </w:r>
      <w:r>
        <w:rPr>
          <w:rFonts w:hint="eastAsia" w:ascii="仿宋_GB2312" w:hAnsi="仿宋_GB2312" w:eastAsia="仿宋_GB2312" w:cs="仿宋_GB2312"/>
          <w:spacing w:val="-1"/>
          <w:sz w:val="28"/>
          <w:szCs w:val="28"/>
          <w:u w:val="single" w:color="auto"/>
          <w:lang w:val="en-US" w:eastAsia="zh-CN"/>
        </w:rPr>
        <w:t>陆</w:t>
      </w:r>
      <w:r>
        <w:rPr>
          <w:rFonts w:hint="eastAsia" w:ascii="仿宋_GB2312" w:hAnsi="仿宋_GB2312" w:eastAsia="仿宋_GB2312" w:cs="仿宋_GB2312"/>
          <w:spacing w:val="-1"/>
          <w:sz w:val="28"/>
          <w:szCs w:val="28"/>
          <w:u w:val="single" w:color="auto"/>
        </w:rPr>
        <w:t>万元整</w:t>
      </w:r>
      <w:r>
        <w:rPr>
          <w:rFonts w:hint="eastAsia" w:ascii="仿宋_GB2312" w:hAnsi="仿宋_GB2312" w:eastAsia="仿宋_GB2312" w:cs="仿宋_GB2312"/>
          <w:spacing w:val="-1"/>
          <w:sz w:val="28"/>
          <w:szCs w:val="28"/>
          <w:u w:val="none" w:color="auto"/>
          <w:lang w:eastAsia="zh-CN"/>
        </w:rPr>
        <w:t>）</w:t>
      </w:r>
    </w:p>
    <w:sectPr>
      <w:footerReference r:id="rId3" w:type="default"/>
      <w:pgSz w:w="11906" w:h="16838"/>
      <w:pgMar w:top="1383" w:right="1800" w:bottom="1383"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 SC">
    <w:altName w:val="宋体"/>
    <w:panose1 w:val="020B0400000000000000"/>
    <w:charset w:val="86"/>
    <w:family w:val="auto"/>
    <w:pitch w:val="default"/>
    <w:sig w:usb0="00000000" w:usb1="00000000" w:usb2="00000017"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公文小标宋简">
    <w:altName w:val="宋体"/>
    <w:panose1 w:val="0201060901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C13F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46AC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C46AC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3C32E"/>
    <w:multiLevelType w:val="singleLevel"/>
    <w:tmpl w:val="92F3C32E"/>
    <w:lvl w:ilvl="0" w:tentative="0">
      <w:start w:val="1"/>
      <w:numFmt w:val="decimal"/>
      <w:lvlText w:val="(%1)"/>
      <w:lvlJc w:val="left"/>
      <w:pPr>
        <w:ind w:left="425" w:hanging="425"/>
      </w:pPr>
      <w:rPr>
        <w:rFonts w:hint="default"/>
      </w:rPr>
    </w:lvl>
  </w:abstractNum>
  <w:abstractNum w:abstractNumId="1">
    <w:nsid w:val="A74BBB0E"/>
    <w:multiLevelType w:val="singleLevel"/>
    <w:tmpl w:val="A74BBB0E"/>
    <w:lvl w:ilvl="0" w:tentative="0">
      <w:start w:val="1"/>
      <w:numFmt w:val="decimalEnclosedCircleChinese"/>
      <w:suff w:val="nothing"/>
      <w:lvlText w:val="%1　"/>
      <w:lvlJc w:val="left"/>
      <w:pPr>
        <w:ind w:left="0" w:firstLine="400"/>
      </w:pPr>
      <w:rPr>
        <w:rFonts w:hint="eastAsia"/>
      </w:rPr>
    </w:lvl>
  </w:abstractNum>
  <w:abstractNum w:abstractNumId="2">
    <w:nsid w:val="CD157B7A"/>
    <w:multiLevelType w:val="singleLevel"/>
    <w:tmpl w:val="CD157B7A"/>
    <w:lvl w:ilvl="0" w:tentative="0">
      <w:start w:val="1"/>
      <w:numFmt w:val="decimal"/>
      <w:suff w:val="nothing"/>
      <w:lvlText w:val="%1．"/>
      <w:lvlJc w:val="left"/>
      <w:pPr>
        <w:ind w:left="0" w:firstLine="400"/>
      </w:pPr>
      <w:rPr>
        <w:rFonts w:hint="default"/>
      </w:rPr>
    </w:lvl>
  </w:abstractNum>
  <w:abstractNum w:abstractNumId="3">
    <w:nsid w:val="D18FE036"/>
    <w:multiLevelType w:val="singleLevel"/>
    <w:tmpl w:val="D18FE036"/>
    <w:lvl w:ilvl="0" w:tentative="0">
      <w:start w:val="1"/>
      <w:numFmt w:val="chineseCounting"/>
      <w:suff w:val="nothing"/>
      <w:lvlText w:val="%1、"/>
      <w:lvlJc w:val="left"/>
      <w:rPr>
        <w:rFonts w:hint="eastAsia"/>
      </w:rPr>
    </w:lvl>
  </w:abstractNum>
  <w:abstractNum w:abstractNumId="4">
    <w:nsid w:val="DBD6A47A"/>
    <w:multiLevelType w:val="singleLevel"/>
    <w:tmpl w:val="DBD6A47A"/>
    <w:lvl w:ilvl="0" w:tentative="0">
      <w:start w:val="1"/>
      <w:numFmt w:val="decimalEnclosedCircleChinese"/>
      <w:suff w:val="nothing"/>
      <w:lvlText w:val="%1　"/>
      <w:lvlJc w:val="left"/>
      <w:pPr>
        <w:ind w:left="0" w:firstLine="400"/>
      </w:pPr>
      <w:rPr>
        <w:rFonts w:hint="eastAsia"/>
      </w:rPr>
    </w:lvl>
  </w:abstractNum>
  <w:abstractNum w:abstractNumId="5">
    <w:nsid w:val="E5BE0E34"/>
    <w:multiLevelType w:val="multilevel"/>
    <w:tmpl w:val="E5BE0E34"/>
    <w:lvl w:ilvl="0" w:tentative="0">
      <w:start w:val="1"/>
      <w:numFmt w:val="chineseCounting"/>
      <w:suff w:val="space"/>
      <w:lvlText w:val="第%1章 "/>
      <w:lvlJc w:val="left"/>
      <w:pPr>
        <w:tabs>
          <w:tab w:val="left" w:pos="420"/>
        </w:tabs>
        <w:ind w:left="0" w:firstLine="0"/>
      </w:pPr>
      <w:rPr>
        <w:rFonts w:hint="eastAsia"/>
      </w:rPr>
    </w:lvl>
    <w:lvl w:ilvl="1" w:tentative="0">
      <w:start w:val="1"/>
      <w:numFmt w:val="decimal"/>
      <w:pStyle w:val="2"/>
      <w:isLgl/>
      <w:suff w:val="space"/>
      <w:lvlText w:val="%1.%2"/>
      <w:lvlJc w:val="left"/>
      <w:pPr>
        <w:tabs>
          <w:tab w:val="left" w:pos="420"/>
        </w:tabs>
        <w:ind w:left="0" w:firstLine="0"/>
      </w:pPr>
      <w:rPr>
        <w:rFonts w:hint="eastAsia"/>
      </w:rPr>
    </w:lvl>
    <w:lvl w:ilvl="2" w:tentative="0">
      <w:start w:val="1"/>
      <w:numFmt w:val="decimal"/>
      <w:pStyle w:val="3"/>
      <w:isLgl/>
      <w:suff w:val="space"/>
      <w:lvlText w:val="%1.%2.%3"/>
      <w:lvlJc w:val="left"/>
      <w:pPr>
        <w:tabs>
          <w:tab w:val="left" w:pos="420"/>
        </w:tabs>
        <w:ind w:left="0" w:firstLine="0"/>
      </w:pPr>
      <w:rPr>
        <w:rFonts w:hint="eastAsia"/>
      </w:rPr>
    </w:lvl>
    <w:lvl w:ilvl="3" w:tentative="0">
      <w:start w:val="1"/>
      <w:numFmt w:val="decimal"/>
      <w:isLgl/>
      <w:suff w:val="nothing"/>
      <w:lvlText w:val="%1.%2.%3.%4."/>
      <w:lvlJc w:val="left"/>
      <w:pPr>
        <w:tabs>
          <w:tab w:val="left" w:pos="420"/>
        </w:tabs>
        <w:ind w:left="0" w:firstLine="0"/>
      </w:pPr>
      <w:rPr>
        <w:rFonts w:hint="eastAsia"/>
      </w:rPr>
    </w:lvl>
    <w:lvl w:ilvl="4" w:tentative="0">
      <w:start w:val="1"/>
      <w:numFmt w:val="decimal"/>
      <w:pStyle w:val="4"/>
      <w:isLgl/>
      <w:suff w:val="nothing"/>
      <w:lvlText w:val="（%5）"/>
      <w:lvlJc w:val="left"/>
      <w:pPr>
        <w:tabs>
          <w:tab w:val="left" w:pos="0"/>
        </w:tabs>
        <w:ind w:left="0" w:firstLine="0"/>
      </w:pPr>
      <w:rPr>
        <w:rFonts w:hint="eastAsia"/>
      </w:rPr>
    </w:lvl>
    <w:lvl w:ilvl="5" w:tentative="0">
      <w:start w:val="1"/>
      <w:numFmt w:val="decimal"/>
      <w:isLgl/>
      <w:suff w:val="nothing"/>
      <w:lvlText w:val="%6）"/>
      <w:lvlJc w:val="left"/>
      <w:pPr>
        <w:tabs>
          <w:tab w:val="left" w:pos="420"/>
        </w:tabs>
        <w:ind w:left="0" w:firstLine="0"/>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6">
    <w:nsid w:val="E9F8A8A4"/>
    <w:multiLevelType w:val="singleLevel"/>
    <w:tmpl w:val="E9F8A8A4"/>
    <w:lvl w:ilvl="0" w:tentative="0">
      <w:start w:val="1"/>
      <w:numFmt w:val="decimalEnclosedCircleChinese"/>
      <w:suff w:val="nothing"/>
      <w:lvlText w:val="%1　"/>
      <w:lvlJc w:val="left"/>
      <w:pPr>
        <w:ind w:left="0" w:firstLine="400"/>
      </w:pPr>
      <w:rPr>
        <w:rFonts w:hint="eastAsia"/>
      </w:rPr>
    </w:lvl>
  </w:abstractNum>
  <w:abstractNum w:abstractNumId="7">
    <w:nsid w:val="49B3BCA1"/>
    <w:multiLevelType w:val="singleLevel"/>
    <w:tmpl w:val="49B3BCA1"/>
    <w:lvl w:ilvl="0" w:tentative="0">
      <w:start w:val="1"/>
      <w:numFmt w:val="decimalEnclosedCircleChinese"/>
      <w:suff w:val="nothing"/>
      <w:lvlText w:val="%1　"/>
      <w:lvlJc w:val="left"/>
      <w:pPr>
        <w:ind w:left="0" w:firstLine="400"/>
      </w:pPr>
      <w:rPr>
        <w:rFonts w:hint="eastAsia"/>
      </w:rPr>
    </w:lvl>
  </w:abstractNum>
  <w:abstractNum w:abstractNumId="8">
    <w:nsid w:val="6C445380"/>
    <w:multiLevelType w:val="singleLevel"/>
    <w:tmpl w:val="6C445380"/>
    <w:lvl w:ilvl="0" w:tentative="0">
      <w:start w:val="1"/>
      <w:numFmt w:val="decimal"/>
      <w:lvlText w:val="(%1)"/>
      <w:lvlJc w:val="left"/>
      <w:pPr>
        <w:ind w:left="425" w:hanging="425"/>
      </w:pPr>
      <w:rPr>
        <w:rFonts w:hint="default"/>
      </w:rPr>
    </w:lvl>
  </w:abstractNum>
  <w:abstractNum w:abstractNumId="9">
    <w:nsid w:val="7D75D290"/>
    <w:multiLevelType w:val="singleLevel"/>
    <w:tmpl w:val="7D75D290"/>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9"/>
  </w:num>
  <w:num w:numId="4">
    <w:abstractNumId w:val="2"/>
  </w:num>
  <w:num w:numId="5">
    <w:abstractNumId w:val="8"/>
  </w:num>
  <w:num w:numId="6">
    <w:abstractNumId w:val="0"/>
  </w:num>
  <w:num w:numId="7">
    <w:abstractNumId w:val="1"/>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YjAzNTJhZTNkZTkwMmE2NjkyMWRmZGUyNmZjNGMifQ=="/>
  </w:docVars>
  <w:rsids>
    <w:rsidRoot w:val="00B23B6F"/>
    <w:rsid w:val="001475D3"/>
    <w:rsid w:val="0038336D"/>
    <w:rsid w:val="004869B5"/>
    <w:rsid w:val="00730DB5"/>
    <w:rsid w:val="007964A3"/>
    <w:rsid w:val="008E5460"/>
    <w:rsid w:val="00B23B6F"/>
    <w:rsid w:val="019B2B06"/>
    <w:rsid w:val="045647A9"/>
    <w:rsid w:val="0A222E58"/>
    <w:rsid w:val="0DFA383B"/>
    <w:rsid w:val="12C32372"/>
    <w:rsid w:val="137D3677"/>
    <w:rsid w:val="168E1FC7"/>
    <w:rsid w:val="1C167BEF"/>
    <w:rsid w:val="1D585927"/>
    <w:rsid w:val="1D840937"/>
    <w:rsid w:val="1FAF3A48"/>
    <w:rsid w:val="206A42A1"/>
    <w:rsid w:val="2A4B56ED"/>
    <w:rsid w:val="2B263597"/>
    <w:rsid w:val="2F0D224C"/>
    <w:rsid w:val="30E26317"/>
    <w:rsid w:val="31C17074"/>
    <w:rsid w:val="32D46E20"/>
    <w:rsid w:val="371A7D09"/>
    <w:rsid w:val="3B0443A1"/>
    <w:rsid w:val="41DE1854"/>
    <w:rsid w:val="50C95735"/>
    <w:rsid w:val="55032EF8"/>
    <w:rsid w:val="550477D3"/>
    <w:rsid w:val="57F03A1F"/>
    <w:rsid w:val="59572B72"/>
    <w:rsid w:val="5BA010BF"/>
    <w:rsid w:val="5BFF09D9"/>
    <w:rsid w:val="5DF63896"/>
    <w:rsid w:val="63541056"/>
    <w:rsid w:val="638F1A75"/>
    <w:rsid w:val="681B6DDB"/>
    <w:rsid w:val="683B6C58"/>
    <w:rsid w:val="6DA556E5"/>
    <w:rsid w:val="7E713F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unhideWhenUsed/>
    <w:qFormat/>
    <w:uiPriority w:val="0"/>
    <w:pPr>
      <w:keepNext/>
      <w:keepLines/>
      <w:numPr>
        <w:ilvl w:val="1"/>
        <w:numId w:val="1"/>
      </w:numPr>
      <w:tabs>
        <w:tab w:val="clear" w:pos="420"/>
      </w:tabs>
      <w:ind w:firstLine="640"/>
      <w:outlineLvl w:val="1"/>
    </w:pPr>
    <w:rPr>
      <w:b/>
    </w:rPr>
  </w:style>
  <w:style w:type="paragraph" w:styleId="3">
    <w:name w:val="heading 3"/>
    <w:basedOn w:val="1"/>
    <w:next w:val="1"/>
    <w:unhideWhenUsed/>
    <w:qFormat/>
    <w:uiPriority w:val="0"/>
    <w:pPr>
      <w:keepNext w:val="0"/>
      <w:keepLines w:val="0"/>
      <w:numPr>
        <w:ilvl w:val="2"/>
        <w:numId w:val="1"/>
      </w:numPr>
      <w:tabs>
        <w:tab w:val="left" w:pos="0"/>
      </w:tabs>
      <w:ind w:firstLine="640" w:firstLineChars="200"/>
      <w:outlineLvl w:val="2"/>
    </w:pPr>
    <w:rPr>
      <w:rFonts w:ascii="Times New Roman" w:hAnsi="Times New Roman" w:eastAsia="宋体"/>
    </w:rPr>
  </w:style>
  <w:style w:type="paragraph" w:styleId="4">
    <w:name w:val="heading 5"/>
    <w:basedOn w:val="1"/>
    <w:next w:val="1"/>
    <w:unhideWhenUsed/>
    <w:qFormat/>
    <w:uiPriority w:val="0"/>
    <w:pPr>
      <w:numPr>
        <w:ilvl w:val="4"/>
        <w:numId w:val="1"/>
      </w:numPr>
      <w:tabs>
        <w:tab w:val="left" w:pos="420"/>
        <w:tab w:val="clear" w:pos="0"/>
      </w:tabs>
      <w:ind w:firstLine="640"/>
      <w:outlineLvl w:val="4"/>
    </w:pPr>
  </w:style>
  <w:style w:type="character" w:default="1" w:styleId="13">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6"/>
    <w:autoRedefine/>
    <w:qFormat/>
    <w:uiPriority w:val="0"/>
  </w:style>
  <w:style w:type="paragraph" w:styleId="6">
    <w:name w:val="toc 5"/>
    <w:basedOn w:val="1"/>
    <w:next w:val="1"/>
    <w:autoRedefine/>
    <w:qFormat/>
    <w:uiPriority w:val="0"/>
    <w:pPr>
      <w:widowControl w:val="0"/>
      <w:ind w:left="1680" w:leftChars="800"/>
      <w:jc w:val="both"/>
    </w:pPr>
    <w:rPr>
      <w:kern w:val="2"/>
      <w:szCs w:val="24"/>
    </w:rPr>
  </w:style>
  <w:style w:type="paragraph" w:styleId="7">
    <w:name w:val="footer"/>
    <w:basedOn w:val="1"/>
    <w:link w:val="15"/>
    <w:autoRedefine/>
    <w:qFormat/>
    <w:uiPriority w:val="99"/>
    <w:pPr>
      <w:tabs>
        <w:tab w:val="center" w:pos="4153"/>
        <w:tab w:val="right" w:pos="8306"/>
      </w:tabs>
      <w:snapToGrid w:val="0"/>
      <w:jc w:val="left"/>
    </w:pPr>
    <w:rPr>
      <w:sz w:val="18"/>
      <w:szCs w:val="18"/>
    </w:rPr>
  </w:style>
  <w:style w:type="paragraph" w:styleId="8">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Light Shading"/>
    <w:basedOn w:val="10"/>
    <w:autoRedefine/>
    <w:qFormat/>
    <w:uiPriority w:val="6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4">
    <w:name w:val="页眉 Char"/>
    <w:basedOn w:val="13"/>
    <w:link w:val="8"/>
    <w:autoRedefine/>
    <w:qFormat/>
    <w:uiPriority w:val="99"/>
    <w:rPr>
      <w:sz w:val="18"/>
      <w:szCs w:val="18"/>
    </w:rPr>
  </w:style>
  <w:style w:type="character" w:customStyle="1" w:styleId="15">
    <w:name w:val="页脚 Char"/>
    <w:basedOn w:val="13"/>
    <w:link w:val="7"/>
    <w:autoRedefine/>
    <w:qFormat/>
    <w:uiPriority w:val="99"/>
    <w:rPr>
      <w:sz w:val="18"/>
      <w:szCs w:val="18"/>
    </w:rPr>
  </w:style>
  <w:style w:type="paragraph" w:styleId="16">
    <w:name w:val="List Paragraph"/>
    <w:basedOn w:val="1"/>
    <w:autoRedefine/>
    <w:qFormat/>
    <w:uiPriority w:val="34"/>
    <w:pPr>
      <w:ind w:firstLine="420" w:firstLineChars="200"/>
    </w:pPr>
  </w:style>
  <w:style w:type="paragraph" w:customStyle="1" w:styleId="17">
    <w:name w:val="标题1"/>
    <w:basedOn w:val="1"/>
    <w:autoRedefine/>
    <w:qFormat/>
    <w:uiPriority w:val="0"/>
    <w:pPr>
      <w:spacing w:line="360" w:lineRule="auto"/>
      <w:jc w:val="center"/>
    </w:pPr>
    <w:rPr>
      <w:rFonts w:ascii="黑体" w:eastAsia="黑体"/>
      <w:b/>
      <w:sz w:val="44"/>
    </w:rPr>
  </w:style>
  <w:style w:type="paragraph" w:customStyle="1" w:styleId="18">
    <w:name w:val="p1"/>
    <w:basedOn w:val="1"/>
    <w:qFormat/>
    <w:uiPriority w:val="0"/>
    <w:pPr>
      <w:spacing w:before="0" w:beforeAutospacing="0" w:after="0" w:afterAutospacing="0"/>
      <w:ind w:left="0" w:right="0"/>
      <w:jc w:val="both"/>
    </w:pPr>
    <w:rPr>
      <w:rFonts w:ascii="PingFang SC" w:hAnsi="PingFang SC" w:eastAsia="PingFang SC" w:cs="PingFang SC"/>
      <w:kern w:val="0"/>
      <w:sz w:val="26"/>
      <w:szCs w:val="26"/>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1197</Words>
  <Characters>1231</Characters>
  <Lines>6</Lines>
  <Paragraphs>1</Paragraphs>
  <TotalTime>45</TotalTime>
  <ScaleCrop>false</ScaleCrop>
  <LinksUpToDate>false</LinksUpToDate>
  <CharactersWithSpaces>1234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2019-12-04T08:21:00Z</dcterms:created>
  <dc:creator>Sky123.Org</dc:creator>
  <cp:lastModifiedBy>☁Wennnn</cp:lastModifiedBy>
  <cp:lastPrinted>2024-04-21T13:05:00Z</cp:lastPrinted>
  <dcterms:modified xsi:type="dcterms:W3CDTF">2025-07-30T07:00:48Z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FB6BB948DB9D423C83984A4725366A8B_13</vt:lpwstr>
  </property>
  <property fmtid="{D5CDD505-2E9C-101B-9397-08002B2CF9AE}" pid="4" name="KSOTemplateDocerSaveRecord">
    <vt:lpwstr>eyJoZGlkIjoiYjc4YjAzNTJhZTNkZTkwMmE2NjkyMWRmZGUyNmZjNGMiLCJ1c2VySWQiOiI1ODY2NTA5ODkifQ==</vt:lpwstr>
  </property>
</Properties>
</file>