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附件1：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default" w:ascii="方正仿宋_GB2312" w:hAnsi="方正仿宋_GB2312" w:eastAsia="方正仿宋_GB2312" w:cs="方正仿宋_GB2312"/>
          <w:b w:val="0"/>
          <w:bCs w:val="0"/>
          <w:spacing w:val="-7"/>
          <w:sz w:val="32"/>
          <w:szCs w:val="32"/>
          <w:lang w:val="en-US" w:eastAsia="zh-CN"/>
        </w:rPr>
      </w:pPr>
      <w:r>
        <w:rPr>
          <w:rFonts w:hint="eastAsia" w:ascii="方正仿宋_GB2312" w:hAnsi="方正仿宋_GB2312" w:eastAsia="方正仿宋_GB2312" w:cs="方正仿宋_GB2312"/>
          <w:b w:val="0"/>
          <w:bCs w:val="0"/>
          <w:spacing w:val="-7"/>
          <w:sz w:val="32"/>
          <w:szCs w:val="32"/>
          <w:lang w:val="en-US" w:eastAsia="zh-CN"/>
        </w:rPr>
        <w:t>调研项目概况</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项目预算：279000元。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数量：1套。</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用途：广泛应用于经尿道输尿管软/硬镜碎石、经皮肾镜碎石、经尿道前列腺钬激光剜除、经尿道镜狭窄环钬激光切开、经尿道肿瘤钬激光切除等的腔内镜下治疗。</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技术参数要求</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激光类型：HoL；</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工作方式：复式脉冲；</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输出波长：2100nm±100nm；</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最大输出平均功率：≥70W（注册额定功率，非误差功率）；</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最大单脉冲能量：≥4.0J（可调），步进0.1J；</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最大脉冲频率：≥40Hz；</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护眼指示光功率：≤3mW，可调；</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脉冲宽度：窄脉宽≥300μs，宽窄脉宽在主机界面一键可调（可调宽脉宽实现粉末化碎石，窄脉宽实现碎块化碎石）；</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显示方式：触摸液晶显示屏，可设置并显示工作频率、单次脉冲能量；在碎石过程中显示实时输出功率，即功率变化可每0.1W实时同步显示；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具有自主知识产权的微机控制和操作系统，主机各组件工作状态在显示屏上实时显示；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具有能量反馈系统，自动监测能量，自动实时能量控制和补偿；</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具有功率闭环控制系统：自动监控输出功率，确保功率输出更稳定；</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密封激光器结构设计：具有防震、防潮、防尘、防电磁波干扰、保证激光输出的长期稳定，延长激光器的使用寿命；</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激光输出功率不稳定度实测优于±2%；</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激光输出功率复现性实测优于±2%；</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开机自检系统和安全防护装置；</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冷却系统：内置循环水冷风冷制冷，采用无氟环保强制冷，静音设计；</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有四棒并列共腔激光器技术，保证激光器可长期稳定输出（附相关技术证书）；</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激光传输系统：具有多种规格复用光纤和无菌激光光纤，有独立无菌光纤注册证，且与激光主机为同一品牌；</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设备生产厂家具有ISO13485质量管理体系认证，保证产品质量；</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操控界面：≥8英寸的全触摸彩色控制屏，设备运行界面可实时显示双路预燃、电源、水温、光纤等主要器件的运行状态并有相应器件故障声光报警功能（附主机运行界面证明）；</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设备注册有效使用期≥8年；</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生产日期：生产日期距设备到货日期不得超过90天。供应商需在发货前提供包含设备序列号及生产日期的出厂文件供采购人确认。</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电源：220V，50Hz。</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left"/>
        <w:textAlignment w:val="baseline"/>
        <w:rPr>
          <w:rFonts w:hint="default" w:ascii="方正仿宋_GB2312" w:hAnsi="方正仿宋_GB2312" w:eastAsia="方正仿宋_GB2312" w:cs="方正仿宋_GB2312"/>
          <w:b w:val="0"/>
          <w:bCs w:val="0"/>
          <w:spacing w:val="-7"/>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left"/>
        <w:textAlignment w:val="baseline"/>
        <w:rPr>
          <w:rFonts w:hint="default" w:ascii="方正仿宋_GB2312" w:hAnsi="方正仿宋_GB2312" w:eastAsia="方正仿宋_GB2312" w:cs="方正仿宋_GB2312"/>
          <w:b w:val="0"/>
          <w:bCs w:val="0"/>
          <w:spacing w:val="-7"/>
          <w:sz w:val="24"/>
          <w:szCs w:val="24"/>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default"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配置清单要求</w:t>
      </w:r>
    </w:p>
    <w:tbl>
      <w:tblPr>
        <w:tblStyle w:val="5"/>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842"/>
        <w:gridCol w:w="1207"/>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74" w:type="dxa"/>
            <w:shd w:val="clear" w:color="auto" w:fill="F3F3F3"/>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序号</w:t>
            </w:r>
          </w:p>
        </w:tc>
        <w:tc>
          <w:tcPr>
            <w:tcW w:w="2842" w:type="dxa"/>
            <w:shd w:val="clear" w:color="auto" w:fill="F3F3F3"/>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名称</w:t>
            </w:r>
          </w:p>
        </w:tc>
        <w:tc>
          <w:tcPr>
            <w:tcW w:w="1207" w:type="dxa"/>
            <w:shd w:val="clear" w:color="auto" w:fill="F3F3F3"/>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数量</w:t>
            </w:r>
          </w:p>
        </w:tc>
        <w:tc>
          <w:tcPr>
            <w:tcW w:w="2613" w:type="dxa"/>
            <w:shd w:val="clear" w:color="auto" w:fill="F3F3F3"/>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钬激光治疗机主机</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1台</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550μm光纤</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2根</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配光纤消毒盘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3</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200μm光纤</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2根</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配光纤消毒盘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4</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光纤剥离器</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2套</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5</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光纤切割刀</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1个</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6</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激光防护镜</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1副</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7</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脚踏开关</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1个</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8</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机器开关钥匙</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2把</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9</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电源线</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1根</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10</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使用说明书</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1本</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11</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合格证</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1份</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7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12</w:t>
            </w:r>
          </w:p>
        </w:tc>
        <w:tc>
          <w:tcPr>
            <w:tcW w:w="284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保修卡</w:t>
            </w:r>
          </w:p>
        </w:tc>
        <w:tc>
          <w:tcPr>
            <w:tcW w:w="1207"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1份</w:t>
            </w:r>
          </w:p>
        </w:tc>
        <w:tc>
          <w:tcPr>
            <w:tcW w:w="261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方正仿宋_GB2312" w:hAnsi="方正仿宋_GB2312" w:eastAsia="方正仿宋_GB2312" w:cs="方正仿宋_GB2312"/>
                <w:b w:val="0"/>
                <w:bCs w:val="0"/>
                <w:spacing w:val="-7"/>
                <w:sz w:val="24"/>
                <w:szCs w:val="24"/>
                <w:lang w:val="en-US" w:eastAsia="zh-CN"/>
              </w:rPr>
            </w:pPr>
          </w:p>
        </w:tc>
      </w:tr>
    </w:tbl>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售后服务要求</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仪器的安装、调试：由供应商专业技术人员负责，到采购人现场安装、调试，培训。</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设有厂家维修人员，故障响应时间≤24小时。</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设备保修≥3</w:t>
      </w:r>
      <w:bookmarkStart w:id="0" w:name="_GoBack"/>
      <w:bookmarkEnd w:id="0"/>
      <w:r>
        <w:rPr>
          <w:rFonts w:hint="eastAsia" w:ascii="方正仿宋_GB2312" w:hAnsi="方正仿宋_GB2312" w:eastAsia="方正仿宋_GB2312" w:cs="方正仿宋_GB2312"/>
          <w:b w:val="0"/>
          <w:bCs w:val="0"/>
          <w:spacing w:val="-7"/>
          <w:sz w:val="24"/>
          <w:szCs w:val="24"/>
          <w:lang w:val="en-US" w:eastAsia="zh-CN"/>
        </w:rPr>
        <w:t>年，以项目验收报告和时间起算，提供中文技术文档、技术支持。</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提供公司相关售后服务承诺、技术保障措施，保证设备在保修期内服务。</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采购单位就设备的安装、调试、维修、保养等对采购人使用科室和维修技术人员进行现场不少于1次的免费培训，直至采购人操作人员完全掌握操作、基本维护技术为止。</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firstLine="452" w:firstLineChars="200"/>
        <w:jc w:val="left"/>
        <w:textAlignment w:val="baseline"/>
        <w:rPr>
          <w:rFonts w:hint="eastAsia" w:ascii="方正仿宋_GB2312" w:hAnsi="方正仿宋_GB2312" w:eastAsia="方正仿宋_GB2312" w:cs="方正仿宋_GB2312"/>
          <w:b w:val="0"/>
          <w:bCs w:val="0"/>
          <w:spacing w:val="-7"/>
          <w:sz w:val="24"/>
          <w:szCs w:val="24"/>
          <w:lang w:val="en-US" w:eastAsia="zh-CN"/>
        </w:rPr>
      </w:pPr>
      <w:r>
        <w:rPr>
          <w:rFonts w:hint="eastAsia" w:ascii="方正仿宋_GB2312" w:hAnsi="方正仿宋_GB2312" w:eastAsia="方正仿宋_GB2312" w:cs="方正仿宋_GB2312"/>
          <w:b w:val="0"/>
          <w:bCs w:val="0"/>
          <w:spacing w:val="-7"/>
          <w:sz w:val="24"/>
          <w:szCs w:val="24"/>
          <w:lang w:val="en-US" w:eastAsia="zh-CN"/>
        </w:rPr>
        <w:t>提供设备的简单操作流程、故障处理、维护保养、主要事项电子版和纸质版各一份（纸质版过塑并挂于设备上）。</w:t>
      </w:r>
    </w:p>
    <w:sectPr>
      <w:pgSz w:w="11900" w:h="16820"/>
      <w:pgMar w:top="1429" w:right="1785" w:bottom="0" w:left="175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B4346F1-8D21-4A89-B6AB-D9746E51E5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93733"/>
    <w:multiLevelType w:val="singleLevel"/>
    <w:tmpl w:val="93493733"/>
    <w:lvl w:ilvl="0" w:tentative="0">
      <w:start w:val="1"/>
      <w:numFmt w:val="decimal"/>
      <w:suff w:val="space"/>
      <w:lvlText w:val="%1."/>
      <w:lvlJc w:val="left"/>
      <w:pPr>
        <w:ind w:left="425" w:hanging="425"/>
      </w:pPr>
      <w:rPr>
        <w:rFonts w:hint="default"/>
      </w:rPr>
    </w:lvl>
  </w:abstractNum>
  <w:abstractNum w:abstractNumId="1">
    <w:nsid w:val="963F018F"/>
    <w:multiLevelType w:val="singleLevel"/>
    <w:tmpl w:val="963F018F"/>
    <w:lvl w:ilvl="0" w:tentative="0">
      <w:start w:val="1"/>
      <w:numFmt w:val="decimal"/>
      <w:suff w:val="space"/>
      <w:lvlText w:val="%1."/>
      <w:lvlJc w:val="left"/>
      <w:pPr>
        <w:ind w:left="425" w:hanging="425"/>
      </w:pPr>
      <w:rPr>
        <w:rFonts w:hint="default"/>
      </w:rPr>
    </w:lvl>
  </w:abstractNum>
  <w:abstractNum w:abstractNumId="2">
    <w:nsid w:val="0C56DDBB"/>
    <w:multiLevelType w:val="singleLevel"/>
    <w:tmpl w:val="0C56DDB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ZTIxYWJiYTVmNGU2YjQ0ODgwNDk4YWQwNjBjYWYwNjgifQ=="/>
  </w:docVars>
  <w:rsids>
    <w:rsidRoot w:val="00136411"/>
    <w:rsid w:val="00136411"/>
    <w:rsid w:val="00186736"/>
    <w:rsid w:val="001D064D"/>
    <w:rsid w:val="00222849"/>
    <w:rsid w:val="002D425E"/>
    <w:rsid w:val="004D4372"/>
    <w:rsid w:val="00630A04"/>
    <w:rsid w:val="008128AD"/>
    <w:rsid w:val="009A5601"/>
    <w:rsid w:val="00A95D96"/>
    <w:rsid w:val="00C365F4"/>
    <w:rsid w:val="00CC229A"/>
    <w:rsid w:val="00E160AC"/>
    <w:rsid w:val="00FF0C27"/>
    <w:rsid w:val="06524881"/>
    <w:rsid w:val="4FB85402"/>
    <w:rsid w:val="731C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20"/>
      <w:szCs w:val="20"/>
    </w:rPr>
  </w:style>
  <w:style w:type="paragraph" w:styleId="3">
    <w:name w:val="footer"/>
    <w:basedOn w:val="1"/>
    <w:link w:val="10"/>
    <w:autoRedefine/>
    <w:semiHidden/>
    <w:unhideWhenUsed/>
    <w:qFormat/>
    <w:uiPriority w:val="99"/>
    <w:pPr>
      <w:tabs>
        <w:tab w:val="center" w:pos="4153"/>
        <w:tab w:val="right" w:pos="8306"/>
      </w:tabs>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rPr>
  </w:style>
  <w:style w:type="character" w:customStyle="1" w:styleId="9">
    <w:name w:val="页眉 Char"/>
    <w:basedOn w:val="6"/>
    <w:link w:val="4"/>
    <w:autoRedefine/>
    <w:semiHidden/>
    <w:qFormat/>
    <w:uiPriority w:val="99"/>
    <w:rPr>
      <w:sz w:val="18"/>
      <w:szCs w:val="18"/>
    </w:rPr>
  </w:style>
  <w:style w:type="character" w:customStyle="1" w:styleId="10">
    <w:name w:val="页脚 Char"/>
    <w:basedOn w:val="6"/>
    <w:link w:val="3"/>
    <w:autoRedefine/>
    <w:semiHidden/>
    <w:qFormat/>
    <w:uiPriority w:val="99"/>
    <w:rPr>
      <w:sz w:val="18"/>
      <w:szCs w:val="18"/>
    </w:rPr>
  </w:style>
  <w:style w:type="paragraph" w:customStyle="1" w:styleId="11">
    <w:name w:val="目次、标准名称标题"/>
    <w:basedOn w:val="1"/>
    <w:next w:val="1"/>
    <w:autoRedefine/>
    <w:qFormat/>
    <w:uiPriority w:val="0"/>
    <w:pPr>
      <w:shd w:val="clear" w:color="FFFFFF" w:fill="FFFFFF"/>
      <w:kinsoku/>
      <w:autoSpaceDE/>
      <w:autoSpaceDN/>
      <w:adjustRightInd/>
      <w:snapToGrid/>
      <w:spacing w:before="640" w:after="560" w:line="460" w:lineRule="exact"/>
      <w:jc w:val="center"/>
      <w:textAlignment w:val="auto"/>
      <w:outlineLvl w:val="0"/>
    </w:pPr>
    <w:rPr>
      <w:rFonts w:ascii="黑体" w:hAnsi="Times New Roman" w:eastAsia="黑体" w:cs="Times New Roman"/>
      <w:snapToGrid/>
      <w:color w:val="auto"/>
      <w:sz w:val="32"/>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274</Words>
  <Characters>1563</Characters>
  <Lines>13</Lines>
  <Paragraphs>3</Paragraphs>
  <TotalTime>11</TotalTime>
  <ScaleCrop>false</ScaleCrop>
  <LinksUpToDate>false</LinksUpToDate>
  <CharactersWithSpaces>1834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2025-12-17T09:40:00Z</dcterms:created>
  <dc:creator>Administrator</dc:creator>
  <cp:lastModifiedBy>hybx</cp:lastModifiedBy>
  <cp:lastPrinted>2025-12-17T09:37:00Z</cp:lastPrinted>
  <dcterms:modified xsi:type="dcterms:W3CDTF">2026-01-05T10:43:47Z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2025-12-16T19:01:57Z</vt:filetime>
  </property>
  <property fmtid="{D5CDD505-2E9C-101B-9397-08002B2CF9AE}" pid="4" name="UsrData">
    <vt:lpwstr>69413c23f4e5d9001f16abc6wl</vt:lpwstr>
  </property>
  <property fmtid="{D5CDD505-2E9C-101B-9397-08002B2CF9AE}" pid="5" name="KSOProductBuildVer">
    <vt:lpwstr>2052-12.1.0.16120</vt:lpwstr>
  </property>
  <property fmtid="{D5CDD505-2E9C-101B-9397-08002B2CF9AE}" pid="6" name="ICV">
    <vt:lpwstr>F8D91255E2EA4B07AF72D1740097776A_12</vt:lpwstr>
  </property>
</Properties>
</file>