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F78EC">
      <w:pPr>
        <w:pStyle w:val="5"/>
        <w:ind w:left="0" w:leftChars="0" w:firstLine="0" w:firstLineChars="0"/>
        <w:jc w:val="both"/>
        <w:rPr>
          <w:rFonts w:hint="default"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lang w:val="en-US" w:eastAsia="zh-CN"/>
        </w:rPr>
        <w:t>附件2：</w:t>
      </w:r>
    </w:p>
    <w:p w14:paraId="415AEF61">
      <w:pPr>
        <w:keepNext w:val="0"/>
        <w:keepLines w:val="0"/>
        <w:widowControl/>
        <w:suppressLineNumbers w:val="0"/>
        <w:spacing w:line="360" w:lineRule="auto"/>
        <w:jc w:val="center"/>
        <w:rPr>
          <w:rFonts w:hint="eastAsia"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lang w:val="en-US" w:eastAsia="zh-CN"/>
        </w:rPr>
        <w:t>采购需求</w:t>
      </w:r>
    </w:p>
    <w:p w14:paraId="4E79E828">
      <w:pPr>
        <w:widowControl/>
        <w:numPr>
          <w:ilvl w:val="0"/>
          <w:numId w:val="0"/>
        </w:numPr>
        <w:autoSpaceDE w:val="0"/>
        <w:autoSpaceDN w:val="0"/>
        <w:spacing w:before="144" w:beforeLines="50" w:after="144" w:afterLines="50" w:line="360" w:lineRule="auto"/>
        <w:ind w:firstLine="562" w:firstLineChars="200"/>
        <w:outlineLvl w:val="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bidi="ar-SA"/>
        </w:rPr>
        <w:t>一、</w:t>
      </w:r>
      <w:r>
        <w:rPr>
          <w:rFonts w:hint="eastAsia" w:ascii="宋体" w:hAnsi="宋体" w:eastAsia="宋体" w:cs="宋体"/>
          <w:b/>
          <w:sz w:val="28"/>
          <w:szCs w:val="28"/>
          <w:highlight w:val="none"/>
          <w:lang w:val="en-US" w:eastAsia="zh-CN"/>
        </w:rPr>
        <w:t>项目基本情况</w:t>
      </w:r>
    </w:p>
    <w:p w14:paraId="2B7574FF">
      <w:pPr>
        <w:widowControl/>
        <w:numPr>
          <w:ilvl w:val="0"/>
          <w:numId w:val="0"/>
        </w:numPr>
        <w:autoSpaceDE w:val="0"/>
        <w:autoSpaceDN w:val="0"/>
        <w:spacing w:before="144" w:beforeLines="50" w:after="144" w:afterLines="50" w:line="360" w:lineRule="auto"/>
        <w:ind w:firstLine="420" w:firstLineChars="200"/>
        <w:outlineLvl w:val="0"/>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（一）项目名称：中山市南朗医院2026年</w:t>
      </w:r>
      <w:r>
        <w:rPr>
          <w:rFonts w:hint="eastAsia" w:ascii="宋体" w:hAnsi="宋体" w:cs="宋体"/>
          <w:b w:val="0"/>
          <w:bCs/>
          <w:sz w:val="21"/>
          <w:szCs w:val="21"/>
          <w:highlight w:val="none"/>
          <w:lang w:val="en-US" w:eastAsia="zh-CN"/>
        </w:rPr>
        <w:t>—</w:t>
      </w:r>
      <w:r>
        <w:rPr>
          <w:rFonts w:hint="eastAsia" w:ascii="宋体" w:hAnsi="宋体" w:eastAsia="宋体" w:cs="宋体"/>
          <w:b w:val="0"/>
          <w:bCs/>
          <w:sz w:val="21"/>
          <w:szCs w:val="21"/>
          <w:highlight w:val="none"/>
          <w:lang w:val="en-US" w:eastAsia="zh-CN"/>
        </w:rPr>
        <w:t>2028年电梯维保服务项目。</w:t>
      </w:r>
    </w:p>
    <w:p w14:paraId="36FE64BE">
      <w:pPr>
        <w:spacing w:line="360" w:lineRule="auto"/>
        <w:ind w:firstLine="420" w:firstLineChars="200"/>
        <w:rPr>
          <w:rFonts w:hint="eastAsia" w:eastAsia="宋体"/>
          <w:highlight w:val="none"/>
          <w:lang w:val="en-US" w:eastAsia="zh-CN"/>
        </w:rPr>
      </w:pPr>
      <w:r>
        <w:rPr>
          <w:rFonts w:hint="eastAsia" w:eastAsia="宋体"/>
          <w:highlight w:val="none"/>
          <w:lang w:val="en-US" w:eastAsia="zh-CN"/>
        </w:rPr>
        <w:t>（二）项目预算：</w:t>
      </w:r>
      <w:r>
        <w:rPr>
          <w:rFonts w:hint="eastAsia" w:ascii="宋体" w:hAnsi="宋体" w:eastAsia="宋体" w:cs="宋体"/>
          <w:kern w:val="2"/>
          <w:sz w:val="21"/>
          <w:szCs w:val="21"/>
          <w:highlight w:val="none"/>
          <w:lang w:val="en-US" w:eastAsia="zh-CN" w:bidi="ar-SA"/>
        </w:rPr>
        <w:t>70,000</w:t>
      </w:r>
      <w:r>
        <w:rPr>
          <w:rFonts w:hint="eastAsia" w:ascii="宋体" w:hAnsi="宋体" w:eastAsia="宋体" w:cs="宋体"/>
          <w:kern w:val="2"/>
          <w:sz w:val="21"/>
          <w:szCs w:val="21"/>
          <w:highlight w:val="none"/>
          <w:lang w:val="zh-CN" w:eastAsia="zh-CN" w:bidi="ar-SA"/>
        </w:rPr>
        <w:t>元。</w:t>
      </w:r>
    </w:p>
    <w:p w14:paraId="6BADF464">
      <w:pPr>
        <w:widowControl/>
        <w:numPr>
          <w:ilvl w:val="0"/>
          <w:numId w:val="0"/>
        </w:numPr>
        <w:autoSpaceDE w:val="0"/>
        <w:autoSpaceDN w:val="0"/>
        <w:spacing w:before="144" w:beforeLines="50" w:after="144" w:afterLines="50" w:line="360" w:lineRule="auto"/>
        <w:ind w:firstLine="420" w:firstLineChars="200"/>
        <w:outlineLvl w:val="0"/>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（二）服务合同期：两年。</w:t>
      </w:r>
    </w:p>
    <w:p w14:paraId="35C526C2">
      <w:pPr>
        <w:widowControl/>
        <w:numPr>
          <w:ilvl w:val="0"/>
          <w:numId w:val="0"/>
        </w:numPr>
        <w:autoSpaceDE w:val="0"/>
        <w:autoSpaceDN w:val="0"/>
        <w:spacing w:before="144" w:beforeLines="50" w:after="144" w:afterLines="50" w:line="360" w:lineRule="auto"/>
        <w:ind w:firstLine="420" w:firstLineChars="200"/>
        <w:outlineLvl w:val="0"/>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（三）服务地点：中山市南朗医院。</w:t>
      </w:r>
    </w:p>
    <w:p w14:paraId="75D58239">
      <w:pPr>
        <w:pageBreakBefore w:val="0"/>
        <w:widowControl/>
        <w:kinsoku/>
        <w:wordWrap/>
        <w:overflowPunct/>
        <w:topLinePunct w:val="0"/>
        <w:autoSpaceDE w:val="0"/>
        <w:autoSpaceDN w:val="0"/>
        <w:bidi w:val="0"/>
        <w:adjustRightInd/>
        <w:snapToGrid/>
        <w:spacing w:line="360" w:lineRule="auto"/>
        <w:ind w:firstLine="562" w:firstLineChars="200"/>
        <w:textAlignment w:val="auto"/>
        <w:outlineLvl w:val="0"/>
        <w:rPr>
          <w:rFonts w:hint="eastAsia" w:ascii="宋体" w:hAnsi="宋体" w:eastAsia="宋体" w:cs="宋体"/>
          <w:b/>
          <w:sz w:val="30"/>
          <w:szCs w:val="30"/>
          <w:highlight w:val="none"/>
          <w:lang w:val="en-US" w:eastAsia="zh-CN"/>
        </w:rPr>
      </w:pPr>
      <w:r>
        <w:rPr>
          <w:rFonts w:hint="eastAsia" w:ascii="宋体" w:hAnsi="宋体" w:eastAsia="宋体" w:cs="宋体"/>
          <w:b/>
          <w:sz w:val="28"/>
          <w:szCs w:val="28"/>
          <w:highlight w:val="none"/>
          <w:lang w:val="en-US" w:eastAsia="zh-CN"/>
        </w:rPr>
        <w:t>三、项目服务要求简述</w:t>
      </w:r>
    </w:p>
    <w:p w14:paraId="52740D42">
      <w:pPr>
        <w:pStyle w:val="8"/>
        <w:numPr>
          <w:ilvl w:val="0"/>
          <w:numId w:val="0"/>
        </w:num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根据国家有关电梯的相关规定、市质监局有关电梯特种设备的相关规定和比选人的操作指引，进行全院电梯的维修和维护保养服务。</w:t>
      </w:r>
    </w:p>
    <w:p w14:paraId="5EE9D620">
      <w:pPr>
        <w:pageBreakBefore w:val="0"/>
        <w:widowControl/>
        <w:kinsoku/>
        <w:wordWrap/>
        <w:overflowPunct/>
        <w:topLinePunct w:val="0"/>
        <w:autoSpaceDE w:val="0"/>
        <w:autoSpaceDN w:val="0"/>
        <w:bidi w:val="0"/>
        <w:adjustRightInd/>
        <w:snapToGrid/>
        <w:spacing w:line="360" w:lineRule="auto"/>
        <w:ind w:firstLine="562" w:firstLineChars="200"/>
        <w:textAlignment w:val="auto"/>
        <w:outlineLvl w:val="0"/>
        <w:rPr>
          <w:rFonts w:hint="eastAsia" w:ascii="宋体" w:hAnsi="宋体" w:eastAsia="宋体" w:cs="宋体"/>
          <w:b/>
          <w:sz w:val="30"/>
          <w:szCs w:val="30"/>
          <w:highlight w:val="none"/>
          <w:lang w:val="en-US" w:eastAsia="zh-CN"/>
        </w:rPr>
      </w:pPr>
      <w:r>
        <w:rPr>
          <w:rFonts w:hint="eastAsia" w:ascii="宋体" w:hAnsi="宋体" w:eastAsia="宋体" w:cs="宋体"/>
          <w:b/>
          <w:sz w:val="28"/>
          <w:szCs w:val="28"/>
          <w:highlight w:val="none"/>
          <w:lang w:val="en-US" w:eastAsia="zh-CN"/>
        </w:rPr>
        <w:t>四、项目服务内容</w:t>
      </w:r>
      <w:r>
        <w:rPr>
          <w:rFonts w:hint="eastAsia" w:ascii="宋体" w:hAnsi="宋体" w:cs="宋体"/>
          <w:b/>
          <w:sz w:val="28"/>
          <w:szCs w:val="28"/>
          <w:highlight w:val="none"/>
          <w:lang w:val="en-US" w:eastAsia="zh-CN"/>
        </w:rPr>
        <w:t>（</w:t>
      </w:r>
      <w:r>
        <w:rPr>
          <w:rFonts w:hint="eastAsia" w:ascii="宋体" w:hAnsi="宋体" w:eastAsia="宋体" w:cs="宋体"/>
          <w:b/>
          <w:sz w:val="28"/>
          <w:szCs w:val="28"/>
          <w:highlight w:val="none"/>
          <w:lang w:val="en-US" w:eastAsia="zh-CN"/>
        </w:rPr>
        <w:t>技术条款</w:t>
      </w:r>
      <w:r>
        <w:rPr>
          <w:rFonts w:hint="eastAsia" w:ascii="宋体" w:hAnsi="宋体" w:cs="宋体"/>
          <w:b/>
          <w:sz w:val="28"/>
          <w:szCs w:val="28"/>
          <w:highlight w:val="none"/>
          <w:lang w:val="en-US" w:eastAsia="zh-CN"/>
        </w:rPr>
        <w:t>）</w:t>
      </w:r>
    </w:p>
    <w:p w14:paraId="77DB1893">
      <w:pPr>
        <w:pStyle w:val="31"/>
        <w:spacing w:line="360" w:lineRule="auto"/>
        <w:ind w:firstLine="422" w:firstLineChars="200"/>
        <w:rPr>
          <w:rFonts w:hint="eastAsia" w:eastAsia="宋体"/>
          <w:b/>
          <w:bCs/>
          <w:color w:val="auto"/>
          <w:sz w:val="21"/>
          <w:szCs w:val="21"/>
          <w:highlight w:val="none"/>
          <w:lang w:eastAsia="zh-CN"/>
        </w:rPr>
      </w:pPr>
      <w:r>
        <w:rPr>
          <w:rFonts w:hint="eastAsia"/>
          <w:b/>
          <w:bCs/>
          <w:color w:val="auto"/>
          <w:sz w:val="21"/>
          <w:szCs w:val="21"/>
          <w:highlight w:val="none"/>
          <w:lang w:eastAsia="zh-CN"/>
        </w:rPr>
        <w:t>（一）</w:t>
      </w:r>
      <w:r>
        <w:rPr>
          <w:rFonts w:hint="eastAsia"/>
          <w:b/>
          <w:bCs/>
          <w:color w:val="auto"/>
          <w:sz w:val="21"/>
          <w:szCs w:val="21"/>
          <w:highlight w:val="none"/>
          <w:lang w:val="en-US" w:eastAsia="zh-CN"/>
        </w:rPr>
        <w:t>服务范围</w:t>
      </w:r>
    </w:p>
    <w:p w14:paraId="6BBA75AA">
      <w:pPr>
        <w:pStyle w:val="31"/>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对南朗医院全院7台电梯进行维修和维护保养服务，分别是门诊大楼3台，住院部2台，污物电梯2台（住院部放射科东侧，住院部西侧）。</w:t>
      </w:r>
    </w:p>
    <w:p w14:paraId="5D659F10">
      <w:pPr>
        <w:pStyle w:val="31"/>
        <w:spacing w:line="360" w:lineRule="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附表：电梯清单</w:t>
      </w:r>
    </w:p>
    <w:tbl>
      <w:tblPr>
        <w:tblStyle w:val="1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321"/>
        <w:gridCol w:w="1056"/>
        <w:gridCol w:w="799"/>
        <w:gridCol w:w="799"/>
        <w:gridCol w:w="799"/>
        <w:gridCol w:w="799"/>
        <w:gridCol w:w="799"/>
        <w:gridCol w:w="1402"/>
      </w:tblGrid>
      <w:tr w14:paraId="0BCD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 w:type="pct"/>
            <w:vMerge w:val="restart"/>
            <w:noWrap w:val="0"/>
            <w:vAlign w:val="center"/>
          </w:tcPr>
          <w:p w14:paraId="3486B5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b/>
                <w:color w:val="auto"/>
                <w:sz w:val="21"/>
                <w:szCs w:val="21"/>
                <w:highlight w:val="none"/>
                <w:lang w:val="en-US" w:eastAsia="zh-CN"/>
              </w:rPr>
              <w:t>梯号</w:t>
            </w:r>
          </w:p>
        </w:tc>
        <w:tc>
          <w:tcPr>
            <w:tcW w:w="779" w:type="pct"/>
            <w:vMerge w:val="restart"/>
            <w:noWrap w:val="0"/>
            <w:vAlign w:val="center"/>
          </w:tcPr>
          <w:p w14:paraId="267E70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b/>
                <w:color w:val="auto"/>
                <w:sz w:val="21"/>
                <w:szCs w:val="21"/>
                <w:highlight w:val="none"/>
                <w:lang w:eastAsia="zh-CN"/>
              </w:rPr>
              <w:t>订货合同号</w:t>
            </w:r>
            <w:r>
              <w:rPr>
                <w:rFonts w:hint="eastAsia" w:ascii="宋体" w:hAnsi="宋体" w:eastAsia="宋体" w:cs="宋体"/>
                <w:b/>
                <w:color w:val="auto"/>
                <w:sz w:val="21"/>
                <w:szCs w:val="21"/>
                <w:highlight w:val="none"/>
                <w:lang w:val="en-US" w:eastAsia="zh-CN"/>
              </w:rPr>
              <w:t>/品牌</w:t>
            </w:r>
          </w:p>
        </w:tc>
        <w:tc>
          <w:tcPr>
            <w:tcW w:w="602" w:type="pct"/>
            <w:vMerge w:val="restart"/>
            <w:noWrap w:val="0"/>
            <w:vAlign w:val="center"/>
          </w:tcPr>
          <w:p w14:paraId="7182AB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b/>
                <w:color w:val="auto"/>
                <w:sz w:val="21"/>
                <w:szCs w:val="21"/>
                <w:highlight w:val="none"/>
                <w:lang w:eastAsia="zh-CN"/>
              </w:rPr>
              <w:t>型号</w:t>
            </w:r>
          </w:p>
        </w:tc>
        <w:tc>
          <w:tcPr>
            <w:tcW w:w="473" w:type="pct"/>
            <w:noWrap w:val="0"/>
            <w:vAlign w:val="center"/>
          </w:tcPr>
          <w:p w14:paraId="25D093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b/>
                <w:color w:val="auto"/>
                <w:sz w:val="21"/>
                <w:szCs w:val="21"/>
                <w:highlight w:val="none"/>
                <w:lang w:eastAsia="zh-CN"/>
              </w:rPr>
              <w:t>速度</w:t>
            </w:r>
          </w:p>
        </w:tc>
        <w:tc>
          <w:tcPr>
            <w:tcW w:w="473" w:type="pct"/>
            <w:noWrap w:val="0"/>
            <w:vAlign w:val="center"/>
          </w:tcPr>
          <w:p w14:paraId="5D5AA8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b/>
                <w:color w:val="auto"/>
                <w:sz w:val="21"/>
                <w:szCs w:val="21"/>
                <w:highlight w:val="none"/>
                <w:lang w:eastAsia="zh-CN"/>
              </w:rPr>
              <w:t>载重</w:t>
            </w:r>
          </w:p>
        </w:tc>
        <w:tc>
          <w:tcPr>
            <w:tcW w:w="473" w:type="pct"/>
            <w:noWrap w:val="0"/>
            <w:vAlign w:val="center"/>
          </w:tcPr>
          <w:p w14:paraId="1FE025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b/>
                <w:color w:val="auto"/>
                <w:sz w:val="21"/>
                <w:szCs w:val="21"/>
                <w:highlight w:val="none"/>
                <w:lang w:eastAsia="zh-CN"/>
              </w:rPr>
              <w:t>层站</w:t>
            </w:r>
          </w:p>
        </w:tc>
        <w:tc>
          <w:tcPr>
            <w:tcW w:w="473" w:type="pct"/>
            <w:noWrap w:val="0"/>
            <w:vAlign w:val="center"/>
          </w:tcPr>
          <w:p w14:paraId="0216FA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b/>
                <w:color w:val="auto"/>
                <w:sz w:val="21"/>
                <w:szCs w:val="21"/>
                <w:highlight w:val="none"/>
                <w:lang w:eastAsia="zh-CN"/>
              </w:rPr>
              <w:t>服务期</w:t>
            </w:r>
          </w:p>
        </w:tc>
        <w:tc>
          <w:tcPr>
            <w:tcW w:w="473" w:type="pct"/>
            <w:noWrap w:val="0"/>
            <w:vAlign w:val="center"/>
          </w:tcPr>
          <w:p w14:paraId="206B5D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b/>
                <w:color w:val="auto"/>
                <w:sz w:val="21"/>
                <w:szCs w:val="21"/>
                <w:highlight w:val="none"/>
                <w:lang w:eastAsia="zh-CN"/>
              </w:rPr>
              <w:t>数量</w:t>
            </w:r>
          </w:p>
        </w:tc>
        <w:tc>
          <w:tcPr>
            <w:tcW w:w="827" w:type="pct"/>
            <w:vMerge w:val="restart"/>
            <w:noWrap w:val="0"/>
            <w:vAlign w:val="center"/>
          </w:tcPr>
          <w:p w14:paraId="7635D2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b/>
                <w:color w:val="auto"/>
                <w:sz w:val="21"/>
                <w:szCs w:val="21"/>
                <w:highlight w:val="none"/>
                <w:lang w:eastAsia="zh-CN"/>
              </w:rPr>
              <w:t>位置</w:t>
            </w:r>
          </w:p>
        </w:tc>
      </w:tr>
      <w:tr w14:paraId="5C04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Merge w:val="continue"/>
            <w:noWrap w:val="0"/>
            <w:vAlign w:val="center"/>
          </w:tcPr>
          <w:p w14:paraId="55239D4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auto"/>
                <w:sz w:val="21"/>
                <w:szCs w:val="21"/>
                <w:highlight w:val="none"/>
                <w:vertAlign w:val="baseline"/>
                <w:lang w:val="en-US" w:eastAsia="zh-CN"/>
              </w:rPr>
            </w:pPr>
          </w:p>
        </w:tc>
        <w:tc>
          <w:tcPr>
            <w:tcW w:w="779" w:type="pct"/>
            <w:vMerge w:val="continue"/>
            <w:noWrap w:val="0"/>
            <w:vAlign w:val="center"/>
          </w:tcPr>
          <w:p w14:paraId="53BF57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p>
        </w:tc>
        <w:tc>
          <w:tcPr>
            <w:tcW w:w="602" w:type="pct"/>
            <w:vMerge w:val="continue"/>
            <w:noWrap w:val="0"/>
            <w:vAlign w:val="center"/>
          </w:tcPr>
          <w:p w14:paraId="26763A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p>
        </w:tc>
        <w:tc>
          <w:tcPr>
            <w:tcW w:w="473" w:type="pct"/>
            <w:noWrap w:val="0"/>
            <w:vAlign w:val="center"/>
          </w:tcPr>
          <w:p w14:paraId="2A064D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b/>
                <w:color w:val="auto"/>
                <w:sz w:val="21"/>
                <w:szCs w:val="21"/>
                <w:highlight w:val="none"/>
                <w:lang w:eastAsia="zh-CN"/>
              </w:rPr>
              <w:t>米</w:t>
            </w:r>
            <w:r>
              <w:rPr>
                <w:rFonts w:hint="eastAsia" w:ascii="宋体" w:hAnsi="宋体" w:eastAsia="宋体" w:cs="宋体"/>
                <w:b/>
                <w:color w:val="auto"/>
                <w:sz w:val="21"/>
                <w:szCs w:val="21"/>
                <w:highlight w:val="none"/>
                <w:lang w:val="en-US" w:eastAsia="zh-CN"/>
              </w:rPr>
              <w:t>/秒</w:t>
            </w:r>
          </w:p>
        </w:tc>
        <w:tc>
          <w:tcPr>
            <w:tcW w:w="473" w:type="pct"/>
            <w:noWrap w:val="0"/>
            <w:vAlign w:val="center"/>
          </w:tcPr>
          <w:p w14:paraId="46739F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b/>
                <w:color w:val="auto"/>
                <w:sz w:val="21"/>
                <w:szCs w:val="21"/>
                <w:highlight w:val="none"/>
                <w:lang w:eastAsia="zh-CN"/>
              </w:rPr>
              <w:t>公斤</w:t>
            </w:r>
          </w:p>
        </w:tc>
        <w:tc>
          <w:tcPr>
            <w:tcW w:w="473" w:type="pct"/>
            <w:noWrap w:val="0"/>
            <w:vAlign w:val="center"/>
          </w:tcPr>
          <w:p w14:paraId="1744C6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b/>
                <w:color w:val="auto"/>
                <w:sz w:val="21"/>
                <w:szCs w:val="21"/>
                <w:highlight w:val="none"/>
                <w:lang w:eastAsia="zh-CN"/>
              </w:rPr>
              <w:t>站</w:t>
            </w:r>
            <w:r>
              <w:rPr>
                <w:rFonts w:hint="eastAsia" w:ascii="宋体" w:hAnsi="宋体" w:eastAsia="宋体" w:cs="宋体"/>
                <w:b/>
                <w:color w:val="auto"/>
                <w:sz w:val="21"/>
                <w:szCs w:val="21"/>
                <w:highlight w:val="none"/>
                <w:lang w:val="en-US" w:eastAsia="zh-CN"/>
              </w:rPr>
              <w:t>/门</w:t>
            </w:r>
          </w:p>
        </w:tc>
        <w:tc>
          <w:tcPr>
            <w:tcW w:w="473" w:type="pct"/>
            <w:noWrap w:val="0"/>
            <w:vAlign w:val="center"/>
          </w:tcPr>
          <w:p w14:paraId="47BEC7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b/>
                <w:color w:val="auto"/>
                <w:sz w:val="21"/>
                <w:szCs w:val="21"/>
                <w:highlight w:val="none"/>
                <w:lang w:eastAsia="zh-CN"/>
              </w:rPr>
              <w:t>月</w:t>
            </w:r>
          </w:p>
        </w:tc>
        <w:tc>
          <w:tcPr>
            <w:tcW w:w="473" w:type="pct"/>
            <w:noWrap w:val="0"/>
            <w:vAlign w:val="center"/>
          </w:tcPr>
          <w:p w14:paraId="0555DC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b/>
                <w:color w:val="auto"/>
                <w:sz w:val="21"/>
                <w:szCs w:val="21"/>
                <w:highlight w:val="none"/>
                <w:lang w:val="en-US" w:eastAsia="zh-CN"/>
              </w:rPr>
              <w:t>台</w:t>
            </w:r>
          </w:p>
        </w:tc>
        <w:tc>
          <w:tcPr>
            <w:tcW w:w="827" w:type="pct"/>
            <w:vMerge w:val="continue"/>
            <w:noWrap w:val="0"/>
            <w:vAlign w:val="center"/>
          </w:tcPr>
          <w:p w14:paraId="19B642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p>
        </w:tc>
      </w:tr>
      <w:tr w14:paraId="2221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noWrap w:val="0"/>
            <w:vAlign w:val="center"/>
          </w:tcPr>
          <w:p w14:paraId="461301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L1-L2</w:t>
            </w:r>
          </w:p>
        </w:tc>
        <w:tc>
          <w:tcPr>
            <w:tcW w:w="779" w:type="pct"/>
            <w:noWrap w:val="0"/>
            <w:vAlign w:val="center"/>
          </w:tcPr>
          <w:p w14:paraId="498EA9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美迪斯曳引式病床梯</w:t>
            </w:r>
          </w:p>
        </w:tc>
        <w:tc>
          <w:tcPr>
            <w:tcW w:w="602" w:type="pct"/>
            <w:noWrap w:val="0"/>
            <w:vAlign w:val="center"/>
          </w:tcPr>
          <w:p w14:paraId="748757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NG</w:t>
            </w:r>
          </w:p>
        </w:tc>
        <w:tc>
          <w:tcPr>
            <w:tcW w:w="473" w:type="pct"/>
            <w:noWrap w:val="0"/>
            <w:vAlign w:val="center"/>
          </w:tcPr>
          <w:p w14:paraId="3BDD8A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1.5</w:t>
            </w:r>
          </w:p>
        </w:tc>
        <w:tc>
          <w:tcPr>
            <w:tcW w:w="473" w:type="pct"/>
            <w:noWrap w:val="0"/>
            <w:vAlign w:val="center"/>
          </w:tcPr>
          <w:p w14:paraId="583207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1600</w:t>
            </w:r>
          </w:p>
        </w:tc>
        <w:tc>
          <w:tcPr>
            <w:tcW w:w="473" w:type="pct"/>
            <w:noWrap w:val="0"/>
            <w:vAlign w:val="center"/>
          </w:tcPr>
          <w:p w14:paraId="5A573C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5/5</w:t>
            </w:r>
          </w:p>
        </w:tc>
        <w:tc>
          <w:tcPr>
            <w:tcW w:w="473" w:type="pct"/>
            <w:noWrap w:val="0"/>
            <w:vAlign w:val="center"/>
          </w:tcPr>
          <w:p w14:paraId="64DE26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24</w:t>
            </w:r>
          </w:p>
        </w:tc>
        <w:tc>
          <w:tcPr>
            <w:tcW w:w="473" w:type="pct"/>
            <w:noWrap w:val="0"/>
            <w:vAlign w:val="center"/>
          </w:tcPr>
          <w:p w14:paraId="214E18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2</w:t>
            </w:r>
          </w:p>
        </w:tc>
        <w:tc>
          <w:tcPr>
            <w:tcW w:w="827" w:type="pct"/>
            <w:noWrap w:val="0"/>
            <w:vAlign w:val="center"/>
          </w:tcPr>
          <w:p w14:paraId="59F7C7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住院部</w:t>
            </w:r>
          </w:p>
        </w:tc>
      </w:tr>
      <w:tr w14:paraId="09E7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noWrap w:val="0"/>
            <w:vAlign w:val="center"/>
          </w:tcPr>
          <w:p w14:paraId="550ED2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L3</w:t>
            </w:r>
          </w:p>
        </w:tc>
        <w:tc>
          <w:tcPr>
            <w:tcW w:w="779" w:type="pct"/>
            <w:noWrap w:val="0"/>
            <w:vAlign w:val="center"/>
          </w:tcPr>
          <w:p w14:paraId="3DCE5D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佛山奥特（医梯）</w:t>
            </w:r>
          </w:p>
        </w:tc>
        <w:tc>
          <w:tcPr>
            <w:tcW w:w="602" w:type="pct"/>
            <w:noWrap w:val="0"/>
            <w:vAlign w:val="center"/>
          </w:tcPr>
          <w:p w14:paraId="63C03C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TBJ1600</w:t>
            </w:r>
          </w:p>
        </w:tc>
        <w:tc>
          <w:tcPr>
            <w:tcW w:w="473" w:type="pct"/>
            <w:noWrap w:val="0"/>
            <w:vAlign w:val="center"/>
          </w:tcPr>
          <w:p w14:paraId="2376D2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0.5</w:t>
            </w:r>
          </w:p>
        </w:tc>
        <w:tc>
          <w:tcPr>
            <w:tcW w:w="473" w:type="pct"/>
            <w:noWrap w:val="0"/>
            <w:vAlign w:val="center"/>
          </w:tcPr>
          <w:p w14:paraId="5F4475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1600</w:t>
            </w:r>
          </w:p>
        </w:tc>
        <w:tc>
          <w:tcPr>
            <w:tcW w:w="473" w:type="pct"/>
            <w:noWrap w:val="0"/>
            <w:vAlign w:val="center"/>
          </w:tcPr>
          <w:p w14:paraId="62FEBD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5/5</w:t>
            </w:r>
          </w:p>
        </w:tc>
        <w:tc>
          <w:tcPr>
            <w:tcW w:w="473" w:type="pct"/>
            <w:noWrap w:val="0"/>
            <w:vAlign w:val="center"/>
          </w:tcPr>
          <w:p w14:paraId="6BD970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24</w:t>
            </w:r>
          </w:p>
        </w:tc>
        <w:tc>
          <w:tcPr>
            <w:tcW w:w="473" w:type="pct"/>
            <w:noWrap w:val="0"/>
            <w:vAlign w:val="center"/>
          </w:tcPr>
          <w:p w14:paraId="06DA93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1</w:t>
            </w:r>
          </w:p>
        </w:tc>
        <w:tc>
          <w:tcPr>
            <w:tcW w:w="827" w:type="pct"/>
            <w:noWrap w:val="0"/>
            <w:vAlign w:val="center"/>
          </w:tcPr>
          <w:p w14:paraId="0AE347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放射科东侧污物梯</w:t>
            </w:r>
          </w:p>
        </w:tc>
      </w:tr>
      <w:tr w14:paraId="386E5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noWrap w:val="0"/>
            <w:vAlign w:val="center"/>
          </w:tcPr>
          <w:p w14:paraId="2A48E0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L4-L5</w:t>
            </w:r>
          </w:p>
        </w:tc>
        <w:tc>
          <w:tcPr>
            <w:tcW w:w="779" w:type="pct"/>
            <w:noWrap w:val="0"/>
            <w:vAlign w:val="center"/>
          </w:tcPr>
          <w:p w14:paraId="0CB9AA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eastAsia="zh-CN"/>
              </w:rPr>
              <w:t>上海三菱</w:t>
            </w:r>
          </w:p>
        </w:tc>
        <w:tc>
          <w:tcPr>
            <w:tcW w:w="602" w:type="pct"/>
            <w:noWrap w:val="0"/>
            <w:vAlign w:val="center"/>
          </w:tcPr>
          <w:p w14:paraId="416ED7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LEHY-I I-SI</w:t>
            </w:r>
          </w:p>
        </w:tc>
        <w:tc>
          <w:tcPr>
            <w:tcW w:w="473" w:type="pct"/>
            <w:noWrap w:val="0"/>
            <w:vAlign w:val="center"/>
          </w:tcPr>
          <w:p w14:paraId="54CCA7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1.0</w:t>
            </w:r>
          </w:p>
        </w:tc>
        <w:tc>
          <w:tcPr>
            <w:tcW w:w="473" w:type="pct"/>
            <w:noWrap w:val="0"/>
            <w:vAlign w:val="center"/>
          </w:tcPr>
          <w:p w14:paraId="24CE5F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1050</w:t>
            </w:r>
          </w:p>
        </w:tc>
        <w:tc>
          <w:tcPr>
            <w:tcW w:w="473" w:type="pct"/>
            <w:noWrap w:val="0"/>
            <w:vAlign w:val="center"/>
          </w:tcPr>
          <w:p w14:paraId="6AEBC8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3/3</w:t>
            </w:r>
          </w:p>
        </w:tc>
        <w:tc>
          <w:tcPr>
            <w:tcW w:w="473" w:type="pct"/>
            <w:noWrap w:val="0"/>
            <w:vAlign w:val="center"/>
          </w:tcPr>
          <w:p w14:paraId="307F41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24</w:t>
            </w:r>
          </w:p>
        </w:tc>
        <w:tc>
          <w:tcPr>
            <w:tcW w:w="473" w:type="pct"/>
            <w:noWrap w:val="0"/>
            <w:vAlign w:val="center"/>
          </w:tcPr>
          <w:p w14:paraId="3461DA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2</w:t>
            </w:r>
          </w:p>
        </w:tc>
        <w:tc>
          <w:tcPr>
            <w:tcW w:w="827" w:type="pct"/>
            <w:noWrap w:val="0"/>
            <w:vAlign w:val="center"/>
          </w:tcPr>
          <w:p w14:paraId="44A1E6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门诊大楼大厅</w:t>
            </w:r>
          </w:p>
        </w:tc>
      </w:tr>
      <w:tr w14:paraId="4E28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noWrap w:val="0"/>
            <w:vAlign w:val="center"/>
          </w:tcPr>
          <w:p w14:paraId="138617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L6</w:t>
            </w:r>
          </w:p>
        </w:tc>
        <w:tc>
          <w:tcPr>
            <w:tcW w:w="779" w:type="pct"/>
            <w:noWrap w:val="0"/>
            <w:vAlign w:val="center"/>
          </w:tcPr>
          <w:p w14:paraId="0DF98E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eastAsia="zh-CN"/>
              </w:rPr>
              <w:t>上海三菱</w:t>
            </w:r>
          </w:p>
        </w:tc>
        <w:tc>
          <w:tcPr>
            <w:tcW w:w="602" w:type="pct"/>
            <w:noWrap w:val="0"/>
            <w:vAlign w:val="center"/>
          </w:tcPr>
          <w:p w14:paraId="1A58AF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LEHY-I IB</w:t>
            </w:r>
          </w:p>
        </w:tc>
        <w:tc>
          <w:tcPr>
            <w:tcW w:w="473" w:type="pct"/>
            <w:noWrap w:val="0"/>
            <w:vAlign w:val="center"/>
          </w:tcPr>
          <w:p w14:paraId="7B2509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1.0</w:t>
            </w:r>
          </w:p>
        </w:tc>
        <w:tc>
          <w:tcPr>
            <w:tcW w:w="473" w:type="pct"/>
            <w:noWrap w:val="0"/>
            <w:vAlign w:val="center"/>
          </w:tcPr>
          <w:p w14:paraId="29AD94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1800</w:t>
            </w:r>
          </w:p>
        </w:tc>
        <w:tc>
          <w:tcPr>
            <w:tcW w:w="473" w:type="pct"/>
            <w:noWrap w:val="0"/>
            <w:vAlign w:val="center"/>
          </w:tcPr>
          <w:p w14:paraId="0E1393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3/3</w:t>
            </w:r>
          </w:p>
        </w:tc>
        <w:tc>
          <w:tcPr>
            <w:tcW w:w="473" w:type="pct"/>
            <w:noWrap w:val="0"/>
            <w:vAlign w:val="center"/>
          </w:tcPr>
          <w:p w14:paraId="0B05F2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24</w:t>
            </w:r>
          </w:p>
        </w:tc>
        <w:tc>
          <w:tcPr>
            <w:tcW w:w="473" w:type="pct"/>
            <w:noWrap w:val="0"/>
            <w:vAlign w:val="center"/>
          </w:tcPr>
          <w:p w14:paraId="0B21D8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1</w:t>
            </w:r>
          </w:p>
        </w:tc>
        <w:tc>
          <w:tcPr>
            <w:tcW w:w="827" w:type="pct"/>
            <w:noWrap w:val="0"/>
            <w:vAlign w:val="center"/>
          </w:tcPr>
          <w:p w14:paraId="650372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门诊大楼东侧</w:t>
            </w:r>
          </w:p>
        </w:tc>
      </w:tr>
      <w:tr w14:paraId="1CCE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noWrap w:val="0"/>
            <w:vAlign w:val="center"/>
          </w:tcPr>
          <w:p w14:paraId="0FC3C8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L7</w:t>
            </w:r>
          </w:p>
        </w:tc>
        <w:tc>
          <w:tcPr>
            <w:tcW w:w="779" w:type="pct"/>
            <w:noWrap w:val="0"/>
            <w:vAlign w:val="center"/>
          </w:tcPr>
          <w:p w14:paraId="1BD118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杂物 + 新菱</w:t>
            </w:r>
          </w:p>
        </w:tc>
        <w:tc>
          <w:tcPr>
            <w:tcW w:w="602" w:type="pct"/>
            <w:noWrap w:val="0"/>
            <w:vAlign w:val="center"/>
          </w:tcPr>
          <w:p w14:paraId="06B45B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TWJ200-M</w:t>
            </w:r>
          </w:p>
        </w:tc>
        <w:tc>
          <w:tcPr>
            <w:tcW w:w="473" w:type="pct"/>
            <w:noWrap w:val="0"/>
            <w:vAlign w:val="center"/>
          </w:tcPr>
          <w:p w14:paraId="286400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w:t>
            </w:r>
          </w:p>
        </w:tc>
        <w:tc>
          <w:tcPr>
            <w:tcW w:w="473" w:type="pct"/>
            <w:noWrap w:val="0"/>
            <w:vAlign w:val="center"/>
          </w:tcPr>
          <w:p w14:paraId="432053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200</w:t>
            </w:r>
          </w:p>
        </w:tc>
        <w:tc>
          <w:tcPr>
            <w:tcW w:w="473" w:type="pct"/>
            <w:noWrap w:val="0"/>
            <w:vAlign w:val="center"/>
          </w:tcPr>
          <w:p w14:paraId="448495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473" w:type="pct"/>
            <w:noWrap w:val="0"/>
            <w:vAlign w:val="center"/>
          </w:tcPr>
          <w:p w14:paraId="0E6704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473" w:type="pct"/>
            <w:noWrap w:val="0"/>
            <w:vAlign w:val="center"/>
          </w:tcPr>
          <w:p w14:paraId="0AACA3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27" w:type="pct"/>
            <w:noWrap w:val="0"/>
            <w:vAlign w:val="center"/>
          </w:tcPr>
          <w:p w14:paraId="1D61EE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住院楼西侧ICU至妇产科污物梯</w:t>
            </w:r>
          </w:p>
        </w:tc>
      </w:tr>
    </w:tbl>
    <w:p w14:paraId="4F057513">
      <w:pPr>
        <w:pStyle w:val="31"/>
        <w:spacing w:line="360" w:lineRule="auto"/>
        <w:ind w:firstLine="422" w:firstLineChars="200"/>
        <w:rPr>
          <w:rFonts w:hint="eastAsia"/>
          <w:b/>
          <w:bCs/>
          <w:color w:val="auto"/>
          <w:sz w:val="21"/>
          <w:szCs w:val="21"/>
          <w:highlight w:val="none"/>
          <w:lang w:val="en-US" w:eastAsia="zh-CN"/>
        </w:rPr>
      </w:pPr>
      <w:r>
        <w:rPr>
          <w:rFonts w:hint="eastAsia"/>
          <w:b/>
          <w:bCs/>
          <w:color w:val="auto"/>
          <w:sz w:val="21"/>
          <w:szCs w:val="21"/>
          <w:highlight w:val="none"/>
          <w:lang w:val="en-US" w:eastAsia="zh-CN"/>
        </w:rPr>
        <w:t>（二）维保服务要求</w:t>
      </w:r>
    </w:p>
    <w:p w14:paraId="62DF7B4A">
      <w:pPr>
        <w:pStyle w:val="31"/>
        <w:spacing w:line="360" w:lineRule="auto"/>
        <w:ind w:firstLine="420" w:firstLineChars="200"/>
        <w:rPr>
          <w:rFonts w:hint="eastAsia"/>
          <w:color w:val="auto"/>
          <w:sz w:val="21"/>
          <w:szCs w:val="21"/>
          <w:highlight w:val="none"/>
        </w:rPr>
      </w:pPr>
      <w:r>
        <w:rPr>
          <w:rFonts w:hint="eastAsia"/>
          <w:color w:val="auto"/>
          <w:sz w:val="21"/>
          <w:szCs w:val="21"/>
          <w:highlight w:val="none"/>
          <w:lang w:val="en-US" w:eastAsia="zh-CN"/>
        </w:rPr>
        <w:t>1.</w:t>
      </w:r>
      <w:r>
        <w:rPr>
          <w:rFonts w:hint="eastAsia"/>
          <w:color w:val="auto"/>
          <w:sz w:val="21"/>
          <w:szCs w:val="21"/>
          <w:highlight w:val="none"/>
        </w:rPr>
        <w:t>根据国家有关电梯的相关规定、市质监局有关电梯特种设备的相关规定及操作指引，进行电梯的维修和维护保养服务。</w:t>
      </w:r>
      <w:r>
        <w:rPr>
          <w:rFonts w:hint="eastAsia"/>
          <w:color w:val="auto"/>
          <w:sz w:val="21"/>
          <w:szCs w:val="21"/>
          <w:highlight w:val="none"/>
          <w:lang w:eastAsia="zh-CN"/>
        </w:rPr>
        <w:t>供应商须</w:t>
      </w:r>
      <w:r>
        <w:rPr>
          <w:rFonts w:hint="eastAsia"/>
          <w:color w:val="auto"/>
          <w:sz w:val="21"/>
          <w:szCs w:val="21"/>
          <w:highlight w:val="none"/>
        </w:rPr>
        <w:t>提供经验丰富</w:t>
      </w:r>
      <w:r>
        <w:rPr>
          <w:rFonts w:hint="eastAsia"/>
          <w:color w:val="auto"/>
          <w:sz w:val="21"/>
          <w:szCs w:val="21"/>
          <w:highlight w:val="none"/>
          <w:lang w:eastAsia="zh-CN"/>
        </w:rPr>
        <w:t>的具</w:t>
      </w:r>
      <w:r>
        <w:rPr>
          <w:rFonts w:hint="eastAsia"/>
          <w:color w:val="auto"/>
          <w:sz w:val="21"/>
          <w:szCs w:val="21"/>
          <w:highlight w:val="none"/>
        </w:rPr>
        <w:t>有专业证书的技术人员，实施科学管理方法，提高服务质量，进行操作管理、急修和维护保养电梯设备和系统；</w:t>
      </w:r>
    </w:p>
    <w:p w14:paraId="3C1B14CF">
      <w:pPr>
        <w:pStyle w:val="31"/>
        <w:spacing w:line="360" w:lineRule="auto"/>
        <w:ind w:firstLine="420" w:firstLineChars="200"/>
        <w:rPr>
          <w:rFonts w:hint="eastAsia"/>
          <w:color w:val="auto"/>
          <w:sz w:val="21"/>
          <w:szCs w:val="21"/>
          <w:highlight w:val="none"/>
        </w:rPr>
      </w:pPr>
      <w:r>
        <w:rPr>
          <w:rFonts w:hint="eastAsia"/>
          <w:color w:val="auto"/>
          <w:sz w:val="21"/>
          <w:szCs w:val="21"/>
          <w:highlight w:val="none"/>
          <w:lang w:val="en-US" w:eastAsia="zh-CN"/>
        </w:rPr>
        <w:t>2.</w:t>
      </w:r>
      <w:r>
        <w:rPr>
          <w:rFonts w:hint="eastAsia"/>
          <w:color w:val="auto"/>
          <w:sz w:val="21"/>
          <w:szCs w:val="21"/>
          <w:highlight w:val="none"/>
        </w:rPr>
        <w:t>提供优质的</w:t>
      </w:r>
      <w:r>
        <w:rPr>
          <w:rFonts w:hint="eastAsia"/>
          <w:color w:val="auto"/>
          <w:sz w:val="21"/>
          <w:szCs w:val="21"/>
          <w:highlight w:val="none"/>
          <w:lang w:eastAsia="zh-CN"/>
        </w:rPr>
        <w:t>正规厂家</w:t>
      </w:r>
      <w:r>
        <w:rPr>
          <w:rFonts w:hint="eastAsia"/>
          <w:color w:val="auto"/>
          <w:sz w:val="21"/>
          <w:szCs w:val="21"/>
          <w:highlight w:val="none"/>
        </w:rPr>
        <w:t>配件，专业的检测方法和施工工艺。零部件更换必须是电梯生产</w:t>
      </w:r>
      <w:r>
        <w:rPr>
          <w:rFonts w:hint="eastAsia"/>
          <w:color w:val="auto"/>
          <w:sz w:val="21"/>
          <w:szCs w:val="21"/>
          <w:highlight w:val="none"/>
          <w:lang w:eastAsia="zh-CN"/>
        </w:rPr>
        <w:t>正规厂家</w:t>
      </w:r>
      <w:r>
        <w:rPr>
          <w:rFonts w:hint="eastAsia"/>
          <w:color w:val="auto"/>
          <w:sz w:val="21"/>
          <w:szCs w:val="21"/>
          <w:highlight w:val="none"/>
        </w:rPr>
        <w:t>零部件；</w:t>
      </w:r>
    </w:p>
    <w:p w14:paraId="22EF3ABE">
      <w:pPr>
        <w:pStyle w:val="31"/>
        <w:spacing w:line="360" w:lineRule="auto"/>
        <w:ind w:firstLine="420" w:firstLineChars="200"/>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3.</w:t>
      </w:r>
      <w:r>
        <w:rPr>
          <w:rFonts w:hint="eastAsia" w:ascii="宋体" w:hAnsi="Times New Roman" w:eastAsia="宋体" w:cs="Times New Roman"/>
          <w:color w:val="auto"/>
          <w:sz w:val="21"/>
          <w:szCs w:val="21"/>
          <w:highlight w:val="none"/>
        </w:rPr>
        <w:t>负责建立和完善电梯系统管理的各种规章制度、维护保养制度和操作规程，建立应急预案和安全生产、危险品管理措施，并报</w:t>
      </w:r>
      <w:r>
        <w:rPr>
          <w:rFonts w:hint="eastAsia" w:ascii="宋体" w:hAnsi="Times New Roman" w:eastAsia="宋体" w:cs="Times New Roman"/>
          <w:color w:val="auto"/>
          <w:sz w:val="21"/>
          <w:szCs w:val="21"/>
          <w:highlight w:val="none"/>
          <w:lang w:val="en-US" w:eastAsia="zh-CN"/>
        </w:rPr>
        <w:t>比选人</w:t>
      </w:r>
      <w:r>
        <w:rPr>
          <w:rFonts w:hint="eastAsia" w:ascii="宋体" w:hAnsi="Times New Roman" w:eastAsia="宋体" w:cs="Times New Roman"/>
          <w:color w:val="auto"/>
          <w:sz w:val="21"/>
          <w:szCs w:val="21"/>
          <w:highlight w:val="none"/>
        </w:rPr>
        <w:t>同意后执行；</w:t>
      </w:r>
    </w:p>
    <w:p w14:paraId="07D929A6">
      <w:pPr>
        <w:pStyle w:val="31"/>
        <w:spacing w:line="360" w:lineRule="auto"/>
        <w:ind w:firstLine="420" w:firstLineChars="200"/>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经处理后的系统或设备故障，</w:t>
      </w:r>
      <w:r>
        <w:rPr>
          <w:rFonts w:hint="eastAsia" w:ascii="宋体" w:hAnsi="Times New Roman" w:eastAsia="宋体" w:cs="Times New Roman"/>
          <w:color w:val="auto"/>
          <w:sz w:val="21"/>
          <w:szCs w:val="21"/>
          <w:highlight w:val="none"/>
          <w:lang w:eastAsia="zh-CN"/>
        </w:rPr>
        <w:t>供应商</w:t>
      </w:r>
      <w:r>
        <w:rPr>
          <w:rFonts w:hint="eastAsia" w:ascii="宋体" w:hAnsi="Times New Roman" w:eastAsia="宋体" w:cs="Times New Roman"/>
          <w:color w:val="auto"/>
          <w:sz w:val="21"/>
          <w:szCs w:val="21"/>
          <w:highlight w:val="none"/>
        </w:rPr>
        <w:t>应确保符合安装使用规范，如违规操作将承担因此而引起的一切责任；</w:t>
      </w:r>
    </w:p>
    <w:p w14:paraId="20579D32">
      <w:pPr>
        <w:pStyle w:val="31"/>
        <w:spacing w:line="360" w:lineRule="auto"/>
        <w:ind w:firstLine="420" w:firstLineChars="200"/>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5.</w:t>
      </w:r>
      <w:r>
        <w:rPr>
          <w:rFonts w:hint="eastAsia" w:ascii="宋体" w:hAnsi="Times New Roman" w:eastAsia="宋体" w:cs="Times New Roman"/>
          <w:color w:val="auto"/>
          <w:sz w:val="21"/>
          <w:szCs w:val="21"/>
          <w:highlight w:val="none"/>
        </w:rPr>
        <w:t>负责日常保养工作，每月两次对电梯进行符合行业安全运行标准的检测、保养。维保时须设置安全警示标志；保养完毕后，须将保养报告书交至相关的电梯安全管理部门</w:t>
      </w:r>
      <w:r>
        <w:rPr>
          <w:rFonts w:hint="eastAsia" w:ascii="宋体" w:hAnsi="Times New Roman" w:eastAsia="宋体" w:cs="Times New Roman"/>
          <w:color w:val="auto"/>
          <w:sz w:val="21"/>
          <w:szCs w:val="21"/>
          <w:highlight w:val="none"/>
          <w:lang w:eastAsia="zh-CN"/>
        </w:rPr>
        <w:t>（总务科</w:t>
      </w:r>
      <w:r>
        <w:rPr>
          <w:rFonts w:hint="eastAsia" w:ascii="宋体" w:hAnsi="Times New Roman" w:eastAsia="宋体" w:cs="Times New Roman"/>
          <w:color w:val="auto"/>
          <w:sz w:val="21"/>
          <w:szCs w:val="21"/>
          <w:highlight w:val="none"/>
        </w:rPr>
        <w:t>签字确认并建档备查，确保电梯正常运作</w:t>
      </w:r>
      <w:r>
        <w:rPr>
          <w:rFonts w:hint="eastAsia" w:ascii="宋体" w:hAnsi="Times New Roman" w:eastAsia="宋体" w:cs="Times New Roman"/>
          <w:color w:val="auto"/>
          <w:sz w:val="21"/>
          <w:szCs w:val="21"/>
          <w:highlight w:val="none"/>
          <w:lang w:eastAsia="zh-CN"/>
        </w:rPr>
        <w:t>）</w:t>
      </w:r>
      <w:r>
        <w:rPr>
          <w:rFonts w:hint="eastAsia" w:ascii="宋体" w:hAnsi="Times New Roman" w:eastAsia="宋体" w:cs="Times New Roman"/>
          <w:color w:val="auto"/>
          <w:sz w:val="21"/>
          <w:szCs w:val="21"/>
          <w:highlight w:val="none"/>
        </w:rPr>
        <w:t>；</w:t>
      </w:r>
    </w:p>
    <w:p w14:paraId="7035FD93">
      <w:pPr>
        <w:pStyle w:val="31"/>
        <w:spacing w:line="360" w:lineRule="auto"/>
        <w:ind w:firstLine="420" w:firstLineChars="200"/>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6.供应商</w:t>
      </w:r>
      <w:r>
        <w:rPr>
          <w:rFonts w:hint="eastAsia" w:ascii="宋体" w:hAnsi="Times New Roman" w:eastAsia="宋体" w:cs="Times New Roman"/>
          <w:color w:val="auto"/>
          <w:sz w:val="21"/>
          <w:szCs w:val="21"/>
          <w:highlight w:val="none"/>
        </w:rPr>
        <w:t>组织和参与电梯困人应急救援及其演练，开展电梯安全使用宣讲和培训</w:t>
      </w:r>
      <w:r>
        <w:rPr>
          <w:rFonts w:hint="eastAsia" w:ascii="宋体" w:hAnsi="Times New Roman" w:eastAsia="宋体" w:cs="Times New Roman"/>
          <w:color w:val="auto"/>
          <w:sz w:val="21"/>
          <w:szCs w:val="21"/>
          <w:highlight w:val="none"/>
          <w:lang w:eastAsia="zh-CN"/>
        </w:rPr>
        <w:t>（每年一次）</w:t>
      </w:r>
      <w:r>
        <w:rPr>
          <w:rFonts w:hint="eastAsia" w:ascii="宋体" w:hAnsi="Times New Roman" w:eastAsia="宋体" w:cs="Times New Roman"/>
          <w:color w:val="auto"/>
          <w:sz w:val="21"/>
          <w:szCs w:val="21"/>
          <w:highlight w:val="none"/>
        </w:rPr>
        <w:t>；</w:t>
      </w:r>
    </w:p>
    <w:p w14:paraId="2F25ABE0">
      <w:pPr>
        <w:pStyle w:val="3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须为本项目提供具备</w:t>
      </w:r>
      <w:r>
        <w:rPr>
          <w:rFonts w:hint="eastAsia" w:ascii="宋体" w:hAnsi="宋体" w:eastAsia="宋体" w:cs="宋体"/>
          <w:color w:val="auto"/>
          <w:sz w:val="21"/>
          <w:szCs w:val="21"/>
          <w:highlight w:val="none"/>
        </w:rPr>
        <w:t>《特种设备作业人员证》</w:t>
      </w:r>
      <w:r>
        <w:rPr>
          <w:rFonts w:hint="eastAsia" w:ascii="宋体" w:hAnsi="宋体" w:eastAsia="宋体" w:cs="宋体"/>
          <w:color w:val="auto"/>
          <w:sz w:val="21"/>
          <w:szCs w:val="21"/>
          <w:highlight w:val="none"/>
          <w:lang w:val="en-US" w:eastAsia="zh-CN"/>
        </w:rPr>
        <w:t>（电梯）</w:t>
      </w:r>
      <w:r>
        <w:rPr>
          <w:rFonts w:hint="eastAsia" w:ascii="宋体" w:hAnsi="宋体" w:eastAsia="宋体" w:cs="宋体"/>
          <w:sz w:val="21"/>
          <w:szCs w:val="21"/>
          <w:highlight w:val="none"/>
          <w:lang w:eastAsia="zh-CN"/>
        </w:rPr>
        <w:t>的</w:t>
      </w:r>
      <w:r>
        <w:rPr>
          <w:rFonts w:hint="eastAsia" w:ascii="宋体" w:hAnsi="宋体" w:eastAsia="宋体" w:cs="宋体"/>
          <w:color w:val="auto"/>
          <w:sz w:val="21"/>
          <w:szCs w:val="21"/>
          <w:highlight w:val="none"/>
          <w:lang w:val="en-US" w:eastAsia="zh-CN"/>
        </w:rPr>
        <w:t>技术人员，数量不少于2名，并根据</w:t>
      </w:r>
      <w:r>
        <w:rPr>
          <w:rFonts w:hint="eastAsia" w:hAnsi="宋体" w:eastAsia="宋体" w:cs="宋体"/>
          <w:color w:val="auto"/>
          <w:sz w:val="21"/>
          <w:szCs w:val="21"/>
          <w:highlight w:val="none"/>
          <w:lang w:val="en-US" w:eastAsia="zh-CN"/>
        </w:rPr>
        <w:t>比选人</w:t>
      </w:r>
      <w:r>
        <w:rPr>
          <w:rFonts w:hint="eastAsia" w:ascii="宋体" w:hAnsi="宋体" w:eastAsia="宋体" w:cs="宋体"/>
          <w:color w:val="auto"/>
          <w:sz w:val="21"/>
          <w:szCs w:val="21"/>
          <w:highlight w:val="none"/>
          <w:lang w:val="en-US" w:eastAsia="zh-CN"/>
        </w:rPr>
        <w:t>的需要视情况增派技术人员</w:t>
      </w:r>
      <w:r>
        <w:rPr>
          <w:rFonts w:hint="eastAsia"/>
          <w:highlight w:val="none"/>
          <w:lang w:eastAsia="zh-CN"/>
        </w:rPr>
        <w:t>；</w:t>
      </w:r>
    </w:p>
    <w:p w14:paraId="1E88F793">
      <w:pPr>
        <w:pStyle w:val="31"/>
        <w:spacing w:line="360" w:lineRule="auto"/>
        <w:ind w:firstLine="420" w:firstLineChars="200"/>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8.</w:t>
      </w:r>
      <w:r>
        <w:rPr>
          <w:rFonts w:hint="eastAsia" w:ascii="宋体" w:hAnsi="Times New Roman" w:eastAsia="宋体" w:cs="Times New Roman"/>
          <w:color w:val="auto"/>
          <w:sz w:val="21"/>
          <w:szCs w:val="21"/>
          <w:highlight w:val="none"/>
        </w:rPr>
        <w:t>向</w:t>
      </w:r>
      <w:r>
        <w:rPr>
          <w:rFonts w:hint="eastAsia" w:ascii="宋体" w:hAnsi="Times New Roman" w:eastAsia="宋体" w:cs="Times New Roman"/>
          <w:color w:val="auto"/>
          <w:sz w:val="21"/>
          <w:szCs w:val="21"/>
          <w:highlight w:val="none"/>
          <w:lang w:val="en-US" w:eastAsia="zh-CN"/>
        </w:rPr>
        <w:t>比选人</w:t>
      </w:r>
      <w:r>
        <w:rPr>
          <w:rFonts w:hint="eastAsia" w:ascii="宋体" w:hAnsi="Times New Roman" w:eastAsia="宋体" w:cs="Times New Roman"/>
          <w:color w:val="auto"/>
          <w:sz w:val="21"/>
          <w:szCs w:val="21"/>
          <w:highlight w:val="none"/>
        </w:rPr>
        <w:t>提出合理化建议并每月向</w:t>
      </w:r>
      <w:r>
        <w:rPr>
          <w:rFonts w:hint="eastAsia" w:ascii="宋体" w:hAnsi="Times New Roman" w:eastAsia="宋体" w:cs="Times New Roman"/>
          <w:color w:val="auto"/>
          <w:sz w:val="21"/>
          <w:szCs w:val="21"/>
          <w:highlight w:val="none"/>
          <w:lang w:val="en-US" w:eastAsia="zh-CN"/>
        </w:rPr>
        <w:t>比选人</w:t>
      </w:r>
      <w:r>
        <w:rPr>
          <w:rFonts w:hint="eastAsia" w:ascii="宋体" w:hAnsi="Times New Roman" w:eastAsia="宋体" w:cs="Times New Roman"/>
          <w:color w:val="auto"/>
          <w:sz w:val="21"/>
          <w:szCs w:val="21"/>
          <w:highlight w:val="none"/>
        </w:rPr>
        <w:t>书面报告所维护保养电梯的运行情况、安全防控制措施、零部件使用情况、易损件的更换情况及电梯更换修理需求</w:t>
      </w:r>
      <w:r>
        <w:rPr>
          <w:rFonts w:hint="eastAsia" w:ascii="宋体" w:cs="Times New Roman"/>
          <w:color w:val="auto"/>
          <w:sz w:val="21"/>
          <w:szCs w:val="21"/>
          <w:highlight w:val="none"/>
          <w:lang w:eastAsia="zh-CN"/>
        </w:rPr>
        <w:t>，</w:t>
      </w:r>
      <w:r>
        <w:rPr>
          <w:rFonts w:hint="eastAsia" w:ascii="宋体" w:hAnsi="Times New Roman" w:eastAsia="宋体" w:cs="Times New Roman"/>
          <w:color w:val="auto"/>
          <w:sz w:val="21"/>
          <w:szCs w:val="21"/>
          <w:highlight w:val="none"/>
        </w:rPr>
        <w:t>电梯故障记录以及电梯困人书面说明报告；</w:t>
      </w:r>
    </w:p>
    <w:p w14:paraId="5A63F5C1">
      <w:pPr>
        <w:pStyle w:val="31"/>
        <w:spacing w:line="360" w:lineRule="auto"/>
        <w:ind w:firstLine="420" w:firstLineChars="200"/>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9.</w:t>
      </w:r>
      <w:r>
        <w:rPr>
          <w:rFonts w:hint="eastAsia" w:ascii="宋体" w:hAnsi="Times New Roman" w:eastAsia="宋体" w:cs="Times New Roman"/>
          <w:color w:val="auto"/>
          <w:sz w:val="21"/>
          <w:szCs w:val="21"/>
          <w:highlight w:val="none"/>
        </w:rPr>
        <w:t>每月提供电梯维保计划并经</w:t>
      </w:r>
      <w:r>
        <w:rPr>
          <w:rFonts w:hint="eastAsia" w:ascii="宋体" w:hAnsi="Times New Roman" w:eastAsia="宋体" w:cs="Times New Roman"/>
          <w:color w:val="auto"/>
          <w:sz w:val="21"/>
          <w:szCs w:val="21"/>
          <w:highlight w:val="none"/>
          <w:lang w:val="en-US" w:eastAsia="zh-CN"/>
        </w:rPr>
        <w:t>比选人</w:t>
      </w:r>
      <w:r>
        <w:rPr>
          <w:rFonts w:hint="eastAsia" w:ascii="宋体" w:hAnsi="Times New Roman" w:eastAsia="宋体" w:cs="Times New Roman"/>
          <w:color w:val="auto"/>
          <w:sz w:val="21"/>
          <w:szCs w:val="21"/>
          <w:highlight w:val="none"/>
        </w:rPr>
        <w:t>审核执行，电梯维保，维修作业时必须报备，不得影响正常</w:t>
      </w:r>
      <w:r>
        <w:rPr>
          <w:rFonts w:hint="eastAsia" w:ascii="宋体" w:cs="Times New Roman"/>
          <w:color w:val="auto"/>
          <w:sz w:val="21"/>
          <w:szCs w:val="21"/>
          <w:highlight w:val="none"/>
          <w:lang w:eastAsia="zh-CN"/>
        </w:rPr>
        <w:t>秩序</w:t>
      </w:r>
      <w:r>
        <w:rPr>
          <w:rFonts w:hint="eastAsia" w:ascii="宋体" w:hAnsi="Times New Roman" w:eastAsia="宋体" w:cs="Times New Roman"/>
          <w:color w:val="auto"/>
          <w:sz w:val="21"/>
          <w:szCs w:val="21"/>
          <w:highlight w:val="none"/>
        </w:rPr>
        <w:t>；</w:t>
      </w:r>
    </w:p>
    <w:p w14:paraId="2B302405">
      <w:pPr>
        <w:pStyle w:val="31"/>
        <w:spacing w:line="360" w:lineRule="auto"/>
        <w:ind w:firstLine="420" w:firstLineChars="200"/>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10.</w:t>
      </w:r>
      <w:r>
        <w:rPr>
          <w:rFonts w:hint="eastAsia" w:ascii="宋体" w:hAnsi="Times New Roman" w:eastAsia="宋体" w:cs="Times New Roman"/>
          <w:color w:val="auto"/>
          <w:sz w:val="21"/>
          <w:szCs w:val="21"/>
          <w:highlight w:val="none"/>
          <w:lang w:eastAsia="zh-CN"/>
        </w:rPr>
        <w:t>供应商</w:t>
      </w:r>
      <w:r>
        <w:rPr>
          <w:rFonts w:hint="eastAsia" w:ascii="宋体" w:hAnsi="Times New Roman" w:eastAsia="宋体" w:cs="Times New Roman"/>
          <w:color w:val="auto"/>
          <w:sz w:val="21"/>
          <w:szCs w:val="21"/>
          <w:highlight w:val="none"/>
        </w:rPr>
        <w:t>违反</w:t>
      </w:r>
      <w:r>
        <w:rPr>
          <w:rFonts w:hint="eastAsia" w:ascii="宋体" w:hAnsi="Times New Roman" w:eastAsia="宋体" w:cs="Times New Roman"/>
          <w:color w:val="auto"/>
          <w:sz w:val="21"/>
          <w:szCs w:val="21"/>
          <w:highlight w:val="none"/>
          <w:lang w:val="en-US" w:eastAsia="zh-CN"/>
        </w:rPr>
        <w:t>比选人</w:t>
      </w:r>
      <w:r>
        <w:rPr>
          <w:rFonts w:hint="eastAsia" w:ascii="宋体" w:hAnsi="Times New Roman" w:eastAsia="宋体" w:cs="Times New Roman"/>
          <w:color w:val="auto"/>
          <w:sz w:val="21"/>
          <w:szCs w:val="21"/>
          <w:highlight w:val="none"/>
        </w:rPr>
        <w:t>有关管理制度或因</w:t>
      </w:r>
      <w:r>
        <w:rPr>
          <w:rFonts w:hint="eastAsia" w:ascii="宋体" w:hAnsi="Times New Roman" w:eastAsia="宋体" w:cs="Times New Roman"/>
          <w:color w:val="auto"/>
          <w:sz w:val="21"/>
          <w:szCs w:val="21"/>
          <w:highlight w:val="none"/>
          <w:lang w:eastAsia="zh-CN"/>
        </w:rPr>
        <w:t>供应商技术人员</w:t>
      </w:r>
      <w:r>
        <w:rPr>
          <w:rFonts w:hint="eastAsia" w:ascii="宋体" w:hAnsi="Times New Roman" w:eastAsia="宋体" w:cs="Times New Roman"/>
          <w:color w:val="auto"/>
          <w:sz w:val="21"/>
          <w:szCs w:val="21"/>
          <w:highlight w:val="none"/>
        </w:rPr>
        <w:t>服务态度、服务质量及其他原因导致用户</w:t>
      </w:r>
      <w:r>
        <w:rPr>
          <w:rFonts w:hint="eastAsia" w:ascii="宋体" w:hAnsi="Times New Roman" w:eastAsia="宋体" w:cs="Times New Roman"/>
          <w:color w:val="auto"/>
          <w:sz w:val="21"/>
          <w:szCs w:val="21"/>
          <w:highlight w:val="none"/>
          <w:lang w:eastAsia="zh-CN"/>
        </w:rPr>
        <w:t>（使用人或</w:t>
      </w:r>
      <w:r>
        <w:rPr>
          <w:rFonts w:hint="eastAsia" w:ascii="宋体" w:hAnsi="Times New Roman" w:eastAsia="宋体" w:cs="Times New Roman"/>
          <w:color w:val="auto"/>
          <w:sz w:val="21"/>
          <w:szCs w:val="21"/>
          <w:highlight w:val="none"/>
          <w:lang w:val="en-US" w:eastAsia="zh-CN"/>
        </w:rPr>
        <w:t>其他相关人员</w:t>
      </w:r>
      <w:r>
        <w:rPr>
          <w:rFonts w:hint="eastAsia" w:ascii="宋体" w:hAnsi="Times New Roman" w:eastAsia="宋体" w:cs="Times New Roman"/>
          <w:color w:val="auto"/>
          <w:sz w:val="21"/>
          <w:szCs w:val="21"/>
          <w:highlight w:val="none"/>
          <w:lang w:eastAsia="zh-CN"/>
        </w:rPr>
        <w:t>）</w:t>
      </w:r>
      <w:r>
        <w:rPr>
          <w:rFonts w:hint="eastAsia" w:ascii="宋体" w:hAnsi="Times New Roman" w:eastAsia="宋体" w:cs="Times New Roman"/>
          <w:color w:val="auto"/>
          <w:sz w:val="21"/>
          <w:szCs w:val="21"/>
          <w:highlight w:val="none"/>
        </w:rPr>
        <w:t>有效投诉的，</w:t>
      </w:r>
      <w:r>
        <w:rPr>
          <w:rFonts w:hint="eastAsia" w:ascii="宋体" w:cs="Times New Roman"/>
          <w:color w:val="auto"/>
          <w:sz w:val="21"/>
          <w:szCs w:val="21"/>
          <w:highlight w:val="none"/>
          <w:lang w:val="en-US" w:eastAsia="zh-CN"/>
        </w:rPr>
        <w:t>每出现一次</w:t>
      </w:r>
      <w:r>
        <w:rPr>
          <w:rFonts w:hint="eastAsia" w:ascii="宋体" w:hAnsi="Times New Roman" w:eastAsia="宋体" w:cs="Times New Roman"/>
          <w:color w:val="auto"/>
          <w:sz w:val="21"/>
          <w:szCs w:val="21"/>
          <w:highlight w:val="none"/>
          <w:lang w:eastAsia="zh-CN"/>
        </w:rPr>
        <w:t>比选人</w:t>
      </w:r>
      <w:r>
        <w:rPr>
          <w:rFonts w:hint="eastAsia" w:ascii="宋体" w:cs="Times New Roman"/>
          <w:color w:val="auto"/>
          <w:sz w:val="21"/>
          <w:szCs w:val="21"/>
          <w:highlight w:val="none"/>
          <w:lang w:val="en-US" w:eastAsia="zh-CN"/>
        </w:rPr>
        <w:t>将</w:t>
      </w:r>
      <w:r>
        <w:rPr>
          <w:rFonts w:hint="eastAsia" w:ascii="宋体" w:hAnsi="宋体" w:eastAsia="宋体" w:cs="宋体"/>
          <w:color w:val="auto"/>
          <w:spacing w:val="7"/>
          <w:sz w:val="21"/>
          <w:szCs w:val="21"/>
          <w:highlight w:val="none"/>
          <w:lang w:val="en-US" w:eastAsia="zh-CN"/>
        </w:rPr>
        <w:t>在当季的服务费用中扣罚</w:t>
      </w:r>
      <w:r>
        <w:rPr>
          <w:rFonts w:hint="eastAsia" w:ascii="宋体" w:hAnsi="宋体" w:cs="宋体"/>
          <w:color w:val="auto"/>
          <w:spacing w:val="7"/>
          <w:sz w:val="21"/>
          <w:szCs w:val="21"/>
          <w:highlight w:val="none"/>
          <w:lang w:val="en-US" w:eastAsia="zh-CN"/>
        </w:rPr>
        <w:t>500</w:t>
      </w:r>
      <w:r>
        <w:rPr>
          <w:rFonts w:hint="eastAsia" w:ascii="宋体" w:hAnsi="宋体" w:eastAsia="宋体" w:cs="宋体"/>
          <w:color w:val="auto"/>
          <w:spacing w:val="7"/>
          <w:sz w:val="21"/>
          <w:szCs w:val="21"/>
          <w:highlight w:val="none"/>
          <w:lang w:val="en-US" w:eastAsia="zh-CN"/>
        </w:rPr>
        <w:t>元，</w:t>
      </w:r>
      <w:r>
        <w:rPr>
          <w:rFonts w:hint="eastAsia" w:ascii="宋体" w:cs="Times New Roman"/>
          <w:color w:val="auto"/>
          <w:sz w:val="21"/>
          <w:szCs w:val="21"/>
          <w:highlight w:val="none"/>
          <w:lang w:val="en-US" w:eastAsia="zh-CN"/>
        </w:rPr>
        <w:t>并</w:t>
      </w:r>
      <w:r>
        <w:rPr>
          <w:rFonts w:hint="eastAsia" w:ascii="宋体" w:hAnsi="Times New Roman" w:eastAsia="宋体" w:cs="Times New Roman"/>
          <w:color w:val="auto"/>
          <w:sz w:val="21"/>
          <w:szCs w:val="21"/>
          <w:highlight w:val="none"/>
        </w:rPr>
        <w:t>要求</w:t>
      </w:r>
      <w:r>
        <w:rPr>
          <w:rFonts w:hint="eastAsia" w:ascii="宋体" w:hAnsi="Times New Roman" w:eastAsia="宋体" w:cs="Times New Roman"/>
          <w:color w:val="auto"/>
          <w:sz w:val="21"/>
          <w:szCs w:val="21"/>
          <w:highlight w:val="none"/>
          <w:lang w:eastAsia="zh-CN"/>
        </w:rPr>
        <w:t>供应商</w:t>
      </w:r>
      <w:r>
        <w:rPr>
          <w:rFonts w:hint="eastAsia" w:ascii="宋体" w:hAnsi="Times New Roman" w:eastAsia="宋体" w:cs="Times New Roman"/>
          <w:color w:val="auto"/>
          <w:sz w:val="21"/>
          <w:szCs w:val="21"/>
          <w:highlight w:val="none"/>
        </w:rPr>
        <w:t>限期整改；</w:t>
      </w:r>
    </w:p>
    <w:p w14:paraId="0493E6D2">
      <w:pPr>
        <w:pStyle w:val="31"/>
        <w:spacing w:line="360" w:lineRule="auto"/>
        <w:ind w:firstLine="420" w:firstLineChars="200"/>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11.</w:t>
      </w:r>
      <w:r>
        <w:rPr>
          <w:rFonts w:hint="eastAsia" w:ascii="宋体" w:hAnsi="Times New Roman" w:eastAsia="宋体" w:cs="Times New Roman"/>
          <w:color w:val="auto"/>
          <w:sz w:val="21"/>
          <w:szCs w:val="21"/>
          <w:highlight w:val="none"/>
          <w:lang w:eastAsia="zh-CN"/>
        </w:rPr>
        <w:t>供应商</w:t>
      </w:r>
      <w:r>
        <w:rPr>
          <w:rFonts w:hint="eastAsia" w:ascii="宋体" w:hAnsi="Times New Roman" w:eastAsia="宋体" w:cs="Times New Roman"/>
          <w:color w:val="auto"/>
          <w:sz w:val="21"/>
          <w:szCs w:val="21"/>
          <w:highlight w:val="none"/>
        </w:rPr>
        <w:t>配合</w:t>
      </w:r>
      <w:r>
        <w:rPr>
          <w:rFonts w:hint="eastAsia" w:ascii="宋体" w:hAnsi="Times New Roman" w:eastAsia="宋体" w:cs="Times New Roman"/>
          <w:color w:val="auto"/>
          <w:sz w:val="21"/>
          <w:szCs w:val="21"/>
          <w:highlight w:val="none"/>
          <w:lang w:eastAsia="zh-CN"/>
        </w:rPr>
        <w:t>比选人</w:t>
      </w:r>
      <w:r>
        <w:rPr>
          <w:rFonts w:hint="eastAsia" w:ascii="宋体" w:hAnsi="Times New Roman" w:eastAsia="宋体" w:cs="Times New Roman"/>
          <w:color w:val="auto"/>
          <w:sz w:val="21"/>
          <w:szCs w:val="21"/>
          <w:highlight w:val="none"/>
        </w:rPr>
        <w:t>不定期抽检，</w:t>
      </w:r>
      <w:r>
        <w:rPr>
          <w:rFonts w:hint="eastAsia" w:ascii="宋体" w:hAnsi="Times New Roman" w:eastAsia="宋体" w:cs="Times New Roman"/>
          <w:color w:val="auto"/>
          <w:sz w:val="21"/>
          <w:szCs w:val="21"/>
          <w:highlight w:val="none"/>
          <w:lang w:eastAsia="zh-CN"/>
        </w:rPr>
        <w:t>比选人</w:t>
      </w:r>
      <w:r>
        <w:rPr>
          <w:rFonts w:hint="eastAsia" w:ascii="宋体" w:hAnsi="Times New Roman" w:eastAsia="宋体" w:cs="Times New Roman"/>
          <w:color w:val="auto"/>
          <w:sz w:val="21"/>
          <w:szCs w:val="21"/>
          <w:highlight w:val="none"/>
        </w:rPr>
        <w:t>根据</w:t>
      </w:r>
      <w:r>
        <w:rPr>
          <w:rFonts w:hint="eastAsia" w:ascii="宋体" w:hAnsi="Times New Roman" w:eastAsia="宋体" w:cs="Times New Roman"/>
          <w:color w:val="auto"/>
          <w:sz w:val="21"/>
          <w:szCs w:val="21"/>
          <w:highlight w:val="none"/>
          <w:lang w:eastAsia="zh-CN"/>
        </w:rPr>
        <w:t>供应商</w:t>
      </w:r>
      <w:r>
        <w:rPr>
          <w:rFonts w:hint="eastAsia" w:ascii="宋体" w:hAnsi="Times New Roman" w:eastAsia="宋体" w:cs="Times New Roman"/>
          <w:color w:val="auto"/>
          <w:sz w:val="21"/>
          <w:szCs w:val="21"/>
          <w:highlight w:val="none"/>
        </w:rPr>
        <w:t>提供《电梯维保计划表》实施维保后进行抽查，如发现</w:t>
      </w:r>
      <w:r>
        <w:rPr>
          <w:rFonts w:hint="eastAsia" w:ascii="宋体" w:hAnsi="Times New Roman" w:eastAsia="宋体" w:cs="Times New Roman"/>
          <w:color w:val="auto"/>
          <w:sz w:val="21"/>
          <w:szCs w:val="21"/>
          <w:highlight w:val="none"/>
          <w:lang w:eastAsia="zh-CN"/>
        </w:rPr>
        <w:t>供应商</w:t>
      </w:r>
      <w:r>
        <w:rPr>
          <w:rFonts w:hint="eastAsia" w:ascii="宋体" w:hAnsi="Times New Roman" w:eastAsia="宋体" w:cs="Times New Roman"/>
          <w:color w:val="auto"/>
          <w:sz w:val="21"/>
          <w:szCs w:val="21"/>
          <w:highlight w:val="none"/>
        </w:rPr>
        <w:t>未履行合同义务，</w:t>
      </w:r>
      <w:r>
        <w:rPr>
          <w:rFonts w:hint="eastAsia" w:ascii="宋体" w:hAnsi="Times New Roman" w:eastAsia="宋体" w:cs="Times New Roman"/>
          <w:color w:val="auto"/>
          <w:sz w:val="21"/>
          <w:szCs w:val="21"/>
          <w:highlight w:val="none"/>
          <w:lang w:eastAsia="zh-CN"/>
        </w:rPr>
        <w:t>比选人</w:t>
      </w:r>
      <w:r>
        <w:rPr>
          <w:rFonts w:hint="eastAsia" w:ascii="宋体" w:hAnsi="Times New Roman" w:eastAsia="宋体" w:cs="Times New Roman"/>
          <w:color w:val="auto"/>
          <w:sz w:val="21"/>
          <w:szCs w:val="21"/>
          <w:highlight w:val="none"/>
        </w:rPr>
        <w:t>有权对</w:t>
      </w:r>
      <w:r>
        <w:rPr>
          <w:rFonts w:hint="eastAsia" w:ascii="宋体" w:hAnsi="Times New Roman" w:eastAsia="宋体" w:cs="Times New Roman"/>
          <w:color w:val="auto"/>
          <w:sz w:val="21"/>
          <w:szCs w:val="21"/>
          <w:highlight w:val="none"/>
          <w:lang w:eastAsia="zh-CN"/>
        </w:rPr>
        <w:t>供应商</w:t>
      </w:r>
      <w:r>
        <w:rPr>
          <w:rFonts w:hint="eastAsia" w:ascii="宋体" w:hAnsi="Times New Roman" w:eastAsia="宋体" w:cs="Times New Roman"/>
          <w:color w:val="auto"/>
          <w:sz w:val="21"/>
          <w:szCs w:val="21"/>
          <w:highlight w:val="none"/>
        </w:rPr>
        <w:t>做出相应的处罚；</w:t>
      </w:r>
    </w:p>
    <w:p w14:paraId="51548C3E">
      <w:pPr>
        <w:pStyle w:val="31"/>
        <w:spacing w:line="360" w:lineRule="auto"/>
        <w:ind w:firstLine="420" w:firstLineChars="200"/>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12.</w:t>
      </w:r>
      <w:r>
        <w:rPr>
          <w:rFonts w:hint="eastAsia" w:ascii="宋体" w:hAnsi="Times New Roman" w:eastAsia="宋体" w:cs="Times New Roman"/>
          <w:color w:val="auto"/>
          <w:sz w:val="21"/>
          <w:szCs w:val="21"/>
          <w:highlight w:val="none"/>
          <w:lang w:eastAsia="zh-CN"/>
        </w:rPr>
        <w:t>供应商</w:t>
      </w:r>
      <w:r>
        <w:rPr>
          <w:rFonts w:hint="eastAsia" w:ascii="宋体" w:hAnsi="Times New Roman" w:eastAsia="宋体" w:cs="Times New Roman"/>
          <w:color w:val="auto"/>
          <w:sz w:val="21"/>
          <w:szCs w:val="21"/>
          <w:highlight w:val="none"/>
        </w:rPr>
        <w:t>负责电梯通风系统的维护保养，保障电梯通风系统的正常运行（滤网清洗、集水盘清洗等）。</w:t>
      </w:r>
    </w:p>
    <w:p w14:paraId="3C7DBAAF">
      <w:pPr>
        <w:pStyle w:val="31"/>
        <w:spacing w:line="360" w:lineRule="auto"/>
        <w:ind w:firstLine="420" w:firstLineChars="200"/>
        <w:rPr>
          <w:rFonts w:hint="eastAsia" w:ascii="宋体" w:cs="Times New Roman"/>
          <w:color w:val="auto"/>
          <w:sz w:val="21"/>
          <w:szCs w:val="21"/>
          <w:highlight w:val="none"/>
          <w:lang w:val="en-US" w:eastAsia="zh-CN"/>
        </w:rPr>
      </w:pPr>
      <w:r>
        <w:rPr>
          <w:rFonts w:hint="eastAsia" w:ascii="宋体" w:cs="Times New Roman"/>
          <w:color w:val="auto"/>
          <w:sz w:val="21"/>
          <w:szCs w:val="21"/>
          <w:highlight w:val="none"/>
          <w:lang w:val="en-US" w:eastAsia="zh-CN"/>
        </w:rPr>
        <w:t>13.供应商须定期对机房环境进行清洁维护，确保机房内无杂物、无积尘、无积水，并保持通风照明良好，杜绝因环境脏乱引发的设备故障或安全隐患。</w:t>
      </w:r>
    </w:p>
    <w:p w14:paraId="30A92FCF">
      <w:pPr>
        <w:pStyle w:val="31"/>
        <w:spacing w:line="360" w:lineRule="auto"/>
        <w:ind w:firstLine="420" w:firstLineChars="200"/>
        <w:rPr>
          <w:rFonts w:hint="default" w:ascii="宋体" w:cs="Times New Roman"/>
          <w:color w:val="auto"/>
          <w:sz w:val="21"/>
          <w:szCs w:val="21"/>
          <w:highlight w:val="none"/>
          <w:lang w:val="en-US" w:eastAsia="zh-CN"/>
        </w:rPr>
      </w:pPr>
      <w:r>
        <w:rPr>
          <w:rFonts w:hint="eastAsia" w:ascii="宋体" w:cs="Times New Roman"/>
          <w:color w:val="auto"/>
          <w:sz w:val="21"/>
          <w:szCs w:val="21"/>
          <w:highlight w:val="none"/>
          <w:lang w:val="en-US" w:eastAsia="zh-CN"/>
        </w:rPr>
        <w:t>14.供应商须定期对电梯轿厢内的灯箱及照明设施进行清洁维护，确保灯箱表面光洁、无积尘、无污渍，照明功能完好，为乘客提供明亮、洁净的乘梯环境。</w:t>
      </w:r>
    </w:p>
    <w:p w14:paraId="61F59232">
      <w:pPr>
        <w:pStyle w:val="31"/>
        <w:spacing w:line="360" w:lineRule="auto"/>
        <w:ind w:firstLine="420" w:firstLineChars="200"/>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1</w:t>
      </w:r>
      <w:r>
        <w:rPr>
          <w:rFonts w:hint="eastAsia" w:ascii="宋体" w:cs="Times New Roman"/>
          <w:color w:val="auto"/>
          <w:sz w:val="21"/>
          <w:szCs w:val="21"/>
          <w:highlight w:val="none"/>
          <w:lang w:val="en-US" w:eastAsia="zh-CN"/>
        </w:rPr>
        <w:t>5</w:t>
      </w:r>
      <w:r>
        <w:rPr>
          <w:rFonts w:hint="eastAsia" w:ascii="宋体" w:hAnsi="Times New Roman" w:eastAsia="宋体" w:cs="Times New Roman"/>
          <w:color w:val="auto"/>
          <w:sz w:val="21"/>
          <w:szCs w:val="21"/>
          <w:highlight w:val="none"/>
          <w:lang w:val="en-US" w:eastAsia="zh-CN"/>
        </w:rPr>
        <w:t>.</w:t>
      </w:r>
      <w:r>
        <w:rPr>
          <w:rFonts w:hint="eastAsia" w:ascii="宋体" w:hAnsi="Times New Roman" w:eastAsia="宋体" w:cs="Times New Roman"/>
          <w:color w:val="auto"/>
          <w:sz w:val="21"/>
          <w:szCs w:val="21"/>
          <w:highlight w:val="none"/>
        </w:rPr>
        <w:t>保养过程中，</w:t>
      </w:r>
      <w:r>
        <w:rPr>
          <w:rFonts w:hint="eastAsia" w:ascii="宋体" w:hAnsi="Times New Roman" w:eastAsia="宋体" w:cs="Times New Roman"/>
          <w:color w:val="auto"/>
          <w:sz w:val="21"/>
          <w:szCs w:val="21"/>
          <w:highlight w:val="none"/>
          <w:lang w:eastAsia="zh-CN"/>
        </w:rPr>
        <w:t>供应商</w:t>
      </w:r>
      <w:r>
        <w:rPr>
          <w:rFonts w:hint="eastAsia" w:ascii="宋体" w:hAnsi="Times New Roman" w:eastAsia="宋体" w:cs="Times New Roman"/>
          <w:color w:val="auto"/>
          <w:sz w:val="21"/>
          <w:szCs w:val="21"/>
          <w:highlight w:val="none"/>
        </w:rPr>
        <w:t>免费提供确认已损坏或存在隐患的电梯零部件及油料等耗材，但装潢部件除外。因管理不善导致电梯浸水、使用不当或人为损坏所造成的修理更换则需双方另行签订修理合同。</w:t>
      </w:r>
    </w:p>
    <w:p w14:paraId="7B8CCE77">
      <w:pPr>
        <w:pStyle w:val="31"/>
        <w:spacing w:line="360" w:lineRule="auto"/>
        <w:ind w:firstLine="420" w:firstLineChars="200"/>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1</w:t>
      </w:r>
      <w:r>
        <w:rPr>
          <w:rFonts w:hint="eastAsia" w:ascii="宋体" w:cs="Times New Roman"/>
          <w:color w:val="auto"/>
          <w:sz w:val="21"/>
          <w:szCs w:val="21"/>
          <w:highlight w:val="none"/>
          <w:lang w:val="en-US" w:eastAsia="zh-CN"/>
        </w:rPr>
        <w:t>6</w:t>
      </w:r>
      <w:r>
        <w:rPr>
          <w:rFonts w:hint="eastAsia" w:ascii="宋体" w:hAnsi="Times New Roman" w:eastAsia="宋体" w:cs="Times New Roman"/>
          <w:color w:val="auto"/>
          <w:sz w:val="21"/>
          <w:szCs w:val="21"/>
          <w:highlight w:val="none"/>
          <w:lang w:val="en-US" w:eastAsia="zh-CN"/>
        </w:rPr>
        <w:t>.</w:t>
      </w:r>
      <w:r>
        <w:rPr>
          <w:rFonts w:hint="eastAsia" w:ascii="宋体" w:hAnsi="Times New Roman" w:eastAsia="宋体" w:cs="Times New Roman"/>
          <w:color w:val="auto"/>
          <w:sz w:val="21"/>
          <w:szCs w:val="21"/>
          <w:highlight w:val="none"/>
        </w:rPr>
        <w:t>本报价不含天灾、人为故意损坏、不可抗力造成的损坏；不含曳引机的损坏更换、钢丝绳的磨损更换、控制柜改造及轿厢装饰部分所需的费用。</w:t>
      </w:r>
    </w:p>
    <w:p w14:paraId="4EA8F228">
      <w:pPr>
        <w:pStyle w:val="31"/>
        <w:spacing w:line="360" w:lineRule="auto"/>
        <w:ind w:firstLine="420" w:firstLineChars="200"/>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1</w:t>
      </w:r>
      <w:r>
        <w:rPr>
          <w:rFonts w:hint="eastAsia" w:ascii="宋体" w:cs="Times New Roman"/>
          <w:color w:val="auto"/>
          <w:sz w:val="21"/>
          <w:szCs w:val="21"/>
          <w:highlight w:val="none"/>
          <w:lang w:val="en-US" w:eastAsia="zh-CN"/>
        </w:rPr>
        <w:t>7</w:t>
      </w:r>
      <w:r>
        <w:rPr>
          <w:rFonts w:hint="eastAsia" w:ascii="宋体" w:hAnsi="Times New Roman" w:eastAsia="宋体" w:cs="Times New Roman"/>
          <w:color w:val="auto"/>
          <w:sz w:val="21"/>
          <w:szCs w:val="21"/>
          <w:highlight w:val="none"/>
          <w:lang w:val="en-US" w:eastAsia="zh-CN"/>
        </w:rPr>
        <w:t>.</w:t>
      </w:r>
      <w:bookmarkStart w:id="0" w:name="OLE_LINK1"/>
      <w:r>
        <w:rPr>
          <w:rFonts w:hint="eastAsia" w:ascii="宋体" w:cs="Times New Roman"/>
          <w:color w:val="auto"/>
          <w:sz w:val="21"/>
          <w:szCs w:val="21"/>
          <w:highlight w:val="none"/>
          <w:lang w:val="en-US" w:eastAsia="zh-CN"/>
        </w:rPr>
        <w:t>供应商</w:t>
      </w:r>
      <w:r>
        <w:rPr>
          <w:rFonts w:hint="eastAsia" w:ascii="宋体" w:hAnsi="Times New Roman" w:eastAsia="宋体" w:cs="Times New Roman"/>
          <w:color w:val="auto"/>
          <w:sz w:val="21"/>
          <w:szCs w:val="21"/>
          <w:highlight w:val="none"/>
        </w:rPr>
        <w:t>须在</w:t>
      </w:r>
      <w:r>
        <w:rPr>
          <w:rFonts w:hint="eastAsia" w:ascii="宋体" w:cs="Times New Roman"/>
          <w:color w:val="auto"/>
          <w:sz w:val="21"/>
          <w:szCs w:val="21"/>
          <w:highlight w:val="none"/>
          <w:lang w:val="en-US" w:eastAsia="zh-CN"/>
        </w:rPr>
        <w:t>进场开展服务前，</w:t>
      </w:r>
      <w:r>
        <w:rPr>
          <w:rFonts w:hint="eastAsia" w:ascii="宋体" w:hAnsi="Times New Roman" w:eastAsia="宋体" w:cs="Times New Roman"/>
          <w:color w:val="auto"/>
          <w:sz w:val="21"/>
          <w:szCs w:val="21"/>
          <w:highlight w:val="none"/>
        </w:rPr>
        <w:t>与</w:t>
      </w:r>
      <w:r>
        <w:rPr>
          <w:rFonts w:hint="eastAsia" w:ascii="宋体" w:cs="Times New Roman"/>
          <w:color w:val="auto"/>
          <w:sz w:val="21"/>
          <w:szCs w:val="21"/>
          <w:highlight w:val="none"/>
          <w:lang w:val="en-US" w:eastAsia="zh-CN"/>
        </w:rPr>
        <w:t>比选人</w:t>
      </w:r>
      <w:r>
        <w:rPr>
          <w:rFonts w:hint="eastAsia" w:ascii="宋体" w:hAnsi="Times New Roman" w:eastAsia="宋体" w:cs="Times New Roman"/>
          <w:color w:val="auto"/>
          <w:sz w:val="21"/>
          <w:szCs w:val="21"/>
          <w:highlight w:val="none"/>
        </w:rPr>
        <w:t>及原服务方开展三方验收，对项目涉及的设备设施现状进行现场核查，并签署书面验收记录文件。验收内容应包括但不限于：设备设施当前运行状态及遗留问题的书面记录、明确</w:t>
      </w:r>
      <w:r>
        <w:rPr>
          <w:rFonts w:hint="eastAsia" w:ascii="宋体" w:cs="Times New Roman"/>
          <w:color w:val="auto"/>
          <w:sz w:val="21"/>
          <w:szCs w:val="21"/>
          <w:highlight w:val="none"/>
          <w:lang w:val="en-US" w:eastAsia="zh-CN"/>
        </w:rPr>
        <w:t>供应商</w:t>
      </w:r>
      <w:r>
        <w:rPr>
          <w:rFonts w:hint="eastAsia" w:ascii="宋体" w:hAnsi="Times New Roman" w:eastAsia="宋体" w:cs="Times New Roman"/>
          <w:color w:val="auto"/>
          <w:sz w:val="21"/>
          <w:szCs w:val="21"/>
          <w:highlight w:val="none"/>
        </w:rPr>
        <w:t>接管的设备范围及原服务方未完成事项。</w:t>
      </w:r>
    </w:p>
    <w:bookmarkEnd w:id="0"/>
    <w:p w14:paraId="5D66D452">
      <w:pPr>
        <w:pStyle w:val="31"/>
        <w:spacing w:line="360" w:lineRule="auto"/>
        <w:ind w:firstLine="420" w:firstLineChars="200"/>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自验收完成之日起，</w:t>
      </w:r>
      <w:r>
        <w:rPr>
          <w:rFonts w:hint="eastAsia" w:ascii="宋体" w:cs="Times New Roman"/>
          <w:color w:val="auto"/>
          <w:sz w:val="21"/>
          <w:szCs w:val="21"/>
          <w:highlight w:val="none"/>
          <w:lang w:val="en-US" w:eastAsia="zh-CN"/>
        </w:rPr>
        <w:t>供应商</w:t>
      </w:r>
      <w:r>
        <w:rPr>
          <w:rFonts w:hint="eastAsia" w:ascii="宋体" w:hAnsi="Times New Roman" w:eastAsia="宋体" w:cs="Times New Roman"/>
          <w:color w:val="auto"/>
          <w:sz w:val="21"/>
          <w:szCs w:val="21"/>
          <w:highlight w:val="none"/>
        </w:rPr>
        <w:t>对验收确认范围内的设备设施承担全部维保责任。对于验收中发现的原有损坏或遗留问题，由</w:t>
      </w:r>
      <w:r>
        <w:rPr>
          <w:rFonts w:hint="eastAsia" w:ascii="宋体" w:cs="Times New Roman"/>
          <w:color w:val="auto"/>
          <w:sz w:val="21"/>
          <w:szCs w:val="21"/>
          <w:highlight w:val="none"/>
          <w:lang w:val="en-US" w:eastAsia="zh-CN"/>
        </w:rPr>
        <w:t>比选人</w:t>
      </w:r>
      <w:r>
        <w:rPr>
          <w:rFonts w:hint="eastAsia" w:ascii="宋体" w:hAnsi="Times New Roman" w:eastAsia="宋体" w:cs="Times New Roman"/>
          <w:color w:val="auto"/>
          <w:sz w:val="21"/>
          <w:szCs w:val="21"/>
          <w:highlight w:val="none"/>
        </w:rPr>
        <w:t>协调原服务方在约定期限内处理，</w:t>
      </w:r>
      <w:r>
        <w:rPr>
          <w:rFonts w:hint="eastAsia" w:ascii="宋体" w:cs="Times New Roman"/>
          <w:color w:val="auto"/>
          <w:sz w:val="21"/>
          <w:szCs w:val="21"/>
          <w:highlight w:val="none"/>
          <w:lang w:val="en-US" w:eastAsia="zh-CN"/>
        </w:rPr>
        <w:t>供应商</w:t>
      </w:r>
      <w:r>
        <w:rPr>
          <w:rFonts w:hint="eastAsia" w:ascii="宋体" w:hAnsi="Times New Roman" w:eastAsia="宋体" w:cs="Times New Roman"/>
          <w:color w:val="auto"/>
          <w:sz w:val="21"/>
          <w:szCs w:val="21"/>
          <w:highlight w:val="none"/>
        </w:rPr>
        <w:t>应提供必要协助。</w:t>
      </w:r>
    </w:p>
    <w:p w14:paraId="7F66FB6D">
      <w:pPr>
        <w:pStyle w:val="31"/>
        <w:spacing w:line="360" w:lineRule="auto"/>
        <w:ind w:firstLine="420" w:firstLineChars="200"/>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16.</w:t>
      </w:r>
      <w:r>
        <w:rPr>
          <w:rFonts w:hint="eastAsia" w:ascii="宋体" w:hAnsi="Times New Roman" w:eastAsia="宋体" w:cs="Times New Roman"/>
          <w:color w:val="auto"/>
          <w:sz w:val="21"/>
          <w:szCs w:val="21"/>
          <w:highlight w:val="none"/>
        </w:rPr>
        <w:t>在对电梯实施维修保养时发现不可靠或磨损严重的零部件，常规配件，于24小时内处理完成，无论任何配件均不超过72小时处理完成。</w:t>
      </w:r>
    </w:p>
    <w:p w14:paraId="418B4FB8">
      <w:pPr>
        <w:pStyle w:val="31"/>
        <w:spacing w:line="360" w:lineRule="auto"/>
        <w:ind w:firstLine="562" w:firstLineChars="200"/>
        <w:rPr>
          <w:b/>
          <w:bCs/>
          <w:color w:val="auto"/>
          <w:sz w:val="28"/>
          <w:szCs w:val="28"/>
          <w:highlight w:val="none"/>
        </w:rPr>
      </w:pPr>
      <w:r>
        <w:rPr>
          <w:rFonts w:hint="eastAsia"/>
          <w:b/>
          <w:bCs/>
          <w:color w:val="auto"/>
          <w:sz w:val="28"/>
          <w:szCs w:val="28"/>
          <w:highlight w:val="none"/>
          <w:lang w:eastAsia="zh-CN"/>
        </w:rPr>
        <w:t>五、</w:t>
      </w:r>
      <w:r>
        <w:rPr>
          <w:rFonts w:hint="eastAsia"/>
          <w:b/>
          <w:bCs/>
          <w:color w:val="auto"/>
          <w:sz w:val="28"/>
          <w:szCs w:val="28"/>
          <w:highlight w:val="none"/>
        </w:rPr>
        <w:t>工作质量要求</w:t>
      </w:r>
    </w:p>
    <w:p w14:paraId="59789AB6">
      <w:pPr>
        <w:pStyle w:val="31"/>
        <w:spacing w:line="360" w:lineRule="auto"/>
        <w:ind w:firstLine="420" w:firstLineChars="200"/>
        <w:rPr>
          <w:rFonts w:hint="eastAsia"/>
          <w:color w:val="auto"/>
          <w:sz w:val="21"/>
          <w:szCs w:val="21"/>
          <w:highlight w:val="none"/>
        </w:rPr>
      </w:pPr>
      <w:r>
        <w:rPr>
          <w:rFonts w:hint="eastAsia"/>
          <w:color w:val="auto"/>
          <w:sz w:val="21"/>
          <w:szCs w:val="21"/>
          <w:highlight w:val="none"/>
          <w:lang w:val="en-US" w:eastAsia="zh-CN"/>
        </w:rPr>
        <w:t>（一）</w:t>
      </w:r>
      <w:r>
        <w:rPr>
          <w:rFonts w:hint="eastAsia"/>
          <w:color w:val="auto"/>
          <w:sz w:val="21"/>
          <w:szCs w:val="21"/>
          <w:highlight w:val="none"/>
        </w:rPr>
        <w:t>执行《电梯使用管理与维护保养规则》（TSGT5001-2009）、《电梯监督检验和定期检验规则》（TSG T7001—2023）、《质检总局关于进一步加强电梯安全工作的意见》（国质检特</w:t>
      </w:r>
      <w:r>
        <w:rPr>
          <w:rFonts w:hint="eastAsia"/>
          <w:color w:val="auto"/>
          <w:sz w:val="21"/>
          <w:szCs w:val="21"/>
          <w:highlight w:val="none"/>
          <w:lang w:eastAsia="zh-CN"/>
        </w:rPr>
        <w:t>〔2013〕14号</w:t>
      </w:r>
      <w:r>
        <w:rPr>
          <w:rFonts w:hint="eastAsia"/>
          <w:color w:val="auto"/>
          <w:sz w:val="21"/>
          <w:szCs w:val="21"/>
          <w:highlight w:val="none"/>
        </w:rPr>
        <w:t>）</w:t>
      </w:r>
      <w:r>
        <w:rPr>
          <w:rFonts w:hint="eastAsia"/>
          <w:color w:val="auto"/>
          <w:sz w:val="21"/>
          <w:szCs w:val="21"/>
          <w:highlight w:val="none"/>
          <w:lang w:eastAsia="zh-CN"/>
        </w:rPr>
        <w:t>（如有新的要求、按照最新要求执行）</w:t>
      </w:r>
      <w:r>
        <w:rPr>
          <w:rFonts w:hint="eastAsia"/>
          <w:color w:val="auto"/>
          <w:sz w:val="21"/>
          <w:szCs w:val="21"/>
          <w:highlight w:val="none"/>
        </w:rPr>
        <w:t>及国家相关的法律法规条例；</w:t>
      </w:r>
    </w:p>
    <w:p w14:paraId="2C7C5435">
      <w:pPr>
        <w:pStyle w:val="31"/>
        <w:spacing w:line="360" w:lineRule="auto"/>
        <w:ind w:firstLine="420" w:firstLineChars="200"/>
        <w:rPr>
          <w:rFonts w:hint="eastAsia"/>
          <w:color w:val="auto"/>
          <w:sz w:val="21"/>
          <w:szCs w:val="21"/>
          <w:highlight w:val="none"/>
        </w:rPr>
      </w:pPr>
      <w:r>
        <w:rPr>
          <w:rFonts w:hint="eastAsia"/>
          <w:color w:val="auto"/>
          <w:sz w:val="21"/>
          <w:szCs w:val="21"/>
          <w:highlight w:val="none"/>
          <w:lang w:val="en-US" w:eastAsia="zh-CN"/>
        </w:rPr>
        <w:t>（二）</w:t>
      </w:r>
      <w:r>
        <w:rPr>
          <w:rFonts w:hint="eastAsia"/>
          <w:color w:val="auto"/>
          <w:sz w:val="21"/>
          <w:szCs w:val="21"/>
          <w:highlight w:val="none"/>
        </w:rPr>
        <w:t>通过有计划</w:t>
      </w:r>
      <w:r>
        <w:rPr>
          <w:rFonts w:hint="eastAsia"/>
          <w:color w:val="auto"/>
          <w:sz w:val="21"/>
          <w:szCs w:val="21"/>
          <w:highlight w:val="none"/>
          <w:lang w:eastAsia="zh-CN"/>
        </w:rPr>
        <w:t>地</w:t>
      </w:r>
      <w:r>
        <w:rPr>
          <w:rFonts w:hint="eastAsia"/>
          <w:color w:val="auto"/>
          <w:sz w:val="21"/>
          <w:szCs w:val="21"/>
          <w:highlight w:val="none"/>
        </w:rPr>
        <w:t>巡查、检修、保养，保证电梯工作寿命及其各部件在良性循环状态下运作，及时更换已磨损的零部件，以预防故障尤其是困人故障的发生，杜绝安全隐患；</w:t>
      </w:r>
    </w:p>
    <w:p w14:paraId="6AF52342">
      <w:pPr>
        <w:pStyle w:val="31"/>
        <w:spacing w:line="360" w:lineRule="auto"/>
        <w:ind w:firstLine="420" w:firstLineChars="200"/>
        <w:rPr>
          <w:rFonts w:hint="eastAsia"/>
          <w:color w:val="auto"/>
          <w:sz w:val="21"/>
          <w:szCs w:val="21"/>
          <w:highlight w:val="none"/>
        </w:rPr>
      </w:pPr>
      <w:r>
        <w:rPr>
          <w:rFonts w:hint="eastAsia"/>
          <w:color w:val="auto"/>
          <w:sz w:val="21"/>
          <w:szCs w:val="21"/>
          <w:highlight w:val="none"/>
          <w:lang w:val="en-US" w:eastAsia="zh-CN"/>
        </w:rPr>
        <w:t>（三）</w:t>
      </w:r>
      <w:r>
        <w:rPr>
          <w:rFonts w:hint="eastAsia"/>
          <w:color w:val="auto"/>
          <w:sz w:val="21"/>
          <w:szCs w:val="21"/>
          <w:highlight w:val="none"/>
        </w:rPr>
        <w:t>为了确保电梯安全运行并顺利通过技术监督局的年度检查，取得使用许可合格证，</w:t>
      </w:r>
      <w:r>
        <w:rPr>
          <w:rFonts w:hint="eastAsia"/>
          <w:color w:val="auto"/>
          <w:sz w:val="21"/>
          <w:szCs w:val="21"/>
          <w:highlight w:val="none"/>
          <w:lang w:val="en-US" w:eastAsia="zh-CN"/>
        </w:rPr>
        <w:t>供应商</w:t>
      </w:r>
      <w:r>
        <w:rPr>
          <w:rFonts w:hint="eastAsia"/>
          <w:color w:val="auto"/>
          <w:sz w:val="21"/>
          <w:szCs w:val="21"/>
          <w:highlight w:val="none"/>
        </w:rPr>
        <w:t>须在年检年审前对电梯设备进行全面检查，及时提醒</w:t>
      </w:r>
      <w:r>
        <w:rPr>
          <w:rFonts w:hint="eastAsia"/>
          <w:color w:val="auto"/>
          <w:sz w:val="21"/>
          <w:szCs w:val="21"/>
          <w:highlight w:val="none"/>
          <w:lang w:eastAsia="zh-CN"/>
        </w:rPr>
        <w:t>比选人</w:t>
      </w:r>
      <w:r>
        <w:rPr>
          <w:rFonts w:hint="eastAsia"/>
          <w:color w:val="auto"/>
          <w:sz w:val="21"/>
          <w:szCs w:val="21"/>
          <w:highlight w:val="none"/>
        </w:rPr>
        <w:t>电梯安检使用许可证期限和保险期限，落实相关整改意见，以书面形式通知使用单位，并协助质量技术监督部门进行年检等技术性工作，确保电梯通过年检；</w:t>
      </w:r>
    </w:p>
    <w:p w14:paraId="1644DE4A">
      <w:pPr>
        <w:pStyle w:val="31"/>
        <w:spacing w:line="360" w:lineRule="auto"/>
        <w:ind w:firstLine="420" w:firstLineChars="200"/>
        <w:rPr>
          <w:rFonts w:hint="eastAsia"/>
          <w:color w:val="auto"/>
          <w:sz w:val="21"/>
          <w:szCs w:val="21"/>
          <w:highlight w:val="none"/>
        </w:rPr>
      </w:pPr>
      <w:r>
        <w:rPr>
          <w:rFonts w:hint="eastAsia"/>
          <w:color w:val="auto"/>
          <w:sz w:val="21"/>
          <w:szCs w:val="21"/>
          <w:highlight w:val="none"/>
          <w:lang w:val="en-US" w:eastAsia="zh-CN"/>
        </w:rPr>
        <w:t>（四）</w:t>
      </w:r>
      <w:r>
        <w:rPr>
          <w:rFonts w:hint="eastAsia"/>
          <w:color w:val="auto"/>
          <w:sz w:val="21"/>
          <w:szCs w:val="21"/>
          <w:highlight w:val="none"/>
        </w:rPr>
        <w:t>服务态度、服务效率、服务水平、质量方面满意度必须达到二甲医院及相关部门检查要求；一旦发生电梯故障或运行不正常，</w:t>
      </w:r>
      <w:r>
        <w:rPr>
          <w:rFonts w:hint="eastAsia"/>
          <w:color w:val="auto"/>
          <w:sz w:val="21"/>
          <w:szCs w:val="21"/>
          <w:highlight w:val="none"/>
          <w:lang w:eastAsia="zh-CN"/>
        </w:rPr>
        <w:t>如</w:t>
      </w:r>
      <w:r>
        <w:rPr>
          <w:rFonts w:hint="eastAsia"/>
          <w:color w:val="auto"/>
          <w:sz w:val="21"/>
          <w:szCs w:val="21"/>
          <w:highlight w:val="none"/>
        </w:rPr>
        <w:t>电梯故障发生困人事件时</w:t>
      </w:r>
      <w:r>
        <w:rPr>
          <w:rFonts w:hint="eastAsia"/>
          <w:color w:val="auto"/>
          <w:sz w:val="21"/>
          <w:szCs w:val="21"/>
          <w:highlight w:val="none"/>
          <w:lang w:val="en-US" w:eastAsia="zh-CN"/>
        </w:rPr>
        <w:t>技术</w:t>
      </w:r>
      <w:r>
        <w:rPr>
          <w:rFonts w:hint="eastAsia"/>
          <w:color w:val="auto"/>
          <w:sz w:val="21"/>
          <w:szCs w:val="21"/>
          <w:highlight w:val="none"/>
        </w:rPr>
        <w:t>人员</w:t>
      </w:r>
      <w:r>
        <w:rPr>
          <w:rFonts w:hint="eastAsia"/>
          <w:color w:val="auto"/>
          <w:sz w:val="21"/>
          <w:szCs w:val="21"/>
          <w:highlight w:val="none"/>
          <w:lang w:val="en-US" w:eastAsia="zh-CN"/>
        </w:rPr>
        <w:t>30</w:t>
      </w:r>
      <w:r>
        <w:rPr>
          <w:rFonts w:hint="eastAsia"/>
          <w:color w:val="auto"/>
          <w:sz w:val="21"/>
          <w:szCs w:val="21"/>
          <w:highlight w:val="none"/>
        </w:rPr>
        <w:t>分钟（从电梯故障时算起）内到达故障现场予以处理</w:t>
      </w:r>
      <w:r>
        <w:rPr>
          <w:rFonts w:hint="eastAsia"/>
          <w:color w:val="auto"/>
          <w:sz w:val="21"/>
          <w:szCs w:val="21"/>
          <w:highlight w:val="none"/>
          <w:lang w:eastAsia="zh-CN"/>
        </w:rPr>
        <w:t>；如</w:t>
      </w:r>
      <w:r>
        <w:rPr>
          <w:rFonts w:hint="eastAsia"/>
          <w:color w:val="auto"/>
          <w:sz w:val="21"/>
          <w:szCs w:val="21"/>
          <w:highlight w:val="none"/>
        </w:rPr>
        <w:t>发生一般电梯故障的</w:t>
      </w:r>
      <w:r>
        <w:rPr>
          <w:rFonts w:hint="eastAsia"/>
          <w:color w:val="auto"/>
          <w:sz w:val="21"/>
          <w:szCs w:val="21"/>
          <w:highlight w:val="none"/>
          <w:lang w:val="en-US" w:eastAsia="zh-CN"/>
        </w:rPr>
        <w:t>技术</w:t>
      </w:r>
      <w:r>
        <w:rPr>
          <w:rFonts w:hint="eastAsia"/>
          <w:color w:val="auto"/>
          <w:sz w:val="21"/>
          <w:szCs w:val="21"/>
          <w:highlight w:val="none"/>
        </w:rPr>
        <w:t>人员</w:t>
      </w:r>
      <w:r>
        <w:rPr>
          <w:rFonts w:hint="eastAsia"/>
          <w:color w:val="auto"/>
          <w:sz w:val="21"/>
          <w:szCs w:val="21"/>
          <w:highlight w:val="none"/>
          <w:lang w:val="en-US" w:eastAsia="zh-CN"/>
        </w:rPr>
        <w:t>60</w:t>
      </w:r>
      <w:r>
        <w:rPr>
          <w:rFonts w:hint="eastAsia"/>
          <w:color w:val="auto"/>
          <w:sz w:val="21"/>
          <w:szCs w:val="21"/>
          <w:highlight w:val="none"/>
        </w:rPr>
        <w:t>分钟内到达现场进行检测维修</w:t>
      </w:r>
      <w:r>
        <w:rPr>
          <w:rFonts w:hint="eastAsia"/>
          <w:color w:val="auto"/>
          <w:sz w:val="21"/>
          <w:szCs w:val="21"/>
          <w:highlight w:val="none"/>
          <w:lang w:eastAsia="zh-CN"/>
        </w:rPr>
        <w:t>，</w:t>
      </w:r>
      <w:r>
        <w:rPr>
          <w:rFonts w:hint="eastAsia"/>
          <w:color w:val="auto"/>
          <w:sz w:val="21"/>
          <w:szCs w:val="21"/>
          <w:highlight w:val="none"/>
        </w:rPr>
        <w:t>维修时须设置护栏做好现场围蔽工作；</w:t>
      </w:r>
    </w:p>
    <w:p w14:paraId="29ED23CA">
      <w:pPr>
        <w:pStyle w:val="31"/>
        <w:spacing w:line="360" w:lineRule="auto"/>
        <w:ind w:firstLine="420" w:firstLineChars="200"/>
        <w:rPr>
          <w:rFonts w:hint="eastAsia"/>
          <w:color w:val="auto"/>
          <w:sz w:val="21"/>
          <w:szCs w:val="21"/>
          <w:highlight w:val="none"/>
        </w:rPr>
      </w:pPr>
      <w:r>
        <w:rPr>
          <w:rFonts w:hint="eastAsia"/>
          <w:color w:val="auto"/>
          <w:sz w:val="21"/>
          <w:szCs w:val="21"/>
          <w:highlight w:val="none"/>
          <w:lang w:val="en-US" w:eastAsia="zh-CN"/>
        </w:rPr>
        <w:t>（五）</w:t>
      </w:r>
      <w:r>
        <w:rPr>
          <w:rFonts w:hint="eastAsia"/>
          <w:color w:val="auto"/>
          <w:sz w:val="21"/>
          <w:szCs w:val="21"/>
          <w:highlight w:val="none"/>
        </w:rPr>
        <w:t>建立健全规范的电梯设备档案和管理，记录电梯的运行状态、故障次数、维修次数等重要数据，为电梯建立运行档案；</w:t>
      </w:r>
    </w:p>
    <w:p w14:paraId="53BF2D7C">
      <w:pPr>
        <w:pStyle w:val="31"/>
        <w:spacing w:line="360" w:lineRule="auto"/>
        <w:ind w:firstLine="420" w:firstLineChars="200"/>
        <w:rPr>
          <w:rFonts w:hint="eastAsia"/>
          <w:color w:val="auto"/>
          <w:sz w:val="21"/>
          <w:szCs w:val="21"/>
          <w:highlight w:val="none"/>
        </w:rPr>
      </w:pPr>
      <w:r>
        <w:rPr>
          <w:rFonts w:hint="eastAsia"/>
          <w:color w:val="auto"/>
          <w:sz w:val="21"/>
          <w:szCs w:val="21"/>
          <w:highlight w:val="none"/>
          <w:lang w:val="en-US" w:eastAsia="zh-CN"/>
        </w:rPr>
        <w:t>（六）</w:t>
      </w:r>
      <w:r>
        <w:rPr>
          <w:rFonts w:hint="eastAsia"/>
          <w:color w:val="auto"/>
          <w:sz w:val="21"/>
          <w:szCs w:val="21"/>
          <w:highlight w:val="none"/>
        </w:rPr>
        <w:t>所有电梯资料（含维修保养资料）需交</w:t>
      </w:r>
      <w:r>
        <w:rPr>
          <w:rFonts w:hint="eastAsia"/>
          <w:color w:val="auto"/>
          <w:sz w:val="21"/>
          <w:szCs w:val="21"/>
          <w:highlight w:val="none"/>
          <w:lang w:eastAsia="zh-CN"/>
        </w:rPr>
        <w:t>比选人</w:t>
      </w:r>
      <w:r>
        <w:rPr>
          <w:rFonts w:hint="eastAsia"/>
          <w:color w:val="auto"/>
          <w:sz w:val="21"/>
          <w:szCs w:val="21"/>
          <w:highlight w:val="none"/>
        </w:rPr>
        <w:t>备份存档；</w:t>
      </w:r>
    </w:p>
    <w:p w14:paraId="55909E53">
      <w:pPr>
        <w:pStyle w:val="31"/>
        <w:spacing w:line="360" w:lineRule="auto"/>
        <w:ind w:firstLine="420" w:firstLineChars="200"/>
        <w:rPr>
          <w:rFonts w:hint="eastAsia"/>
          <w:color w:val="auto"/>
          <w:sz w:val="21"/>
          <w:szCs w:val="21"/>
          <w:highlight w:val="none"/>
        </w:rPr>
      </w:pPr>
      <w:r>
        <w:rPr>
          <w:rFonts w:hint="eastAsia"/>
          <w:color w:val="auto"/>
          <w:sz w:val="21"/>
          <w:szCs w:val="21"/>
          <w:highlight w:val="none"/>
          <w:lang w:val="en-US" w:eastAsia="zh-CN"/>
        </w:rPr>
        <w:t>（七）</w:t>
      </w:r>
      <w:r>
        <w:rPr>
          <w:rFonts w:hint="eastAsia"/>
          <w:color w:val="auto"/>
          <w:sz w:val="21"/>
          <w:szCs w:val="21"/>
          <w:highlight w:val="none"/>
        </w:rPr>
        <w:t>妥善保管电梯图纸及相关资料，并在合同终止后交给</w:t>
      </w:r>
      <w:r>
        <w:rPr>
          <w:rFonts w:hint="eastAsia"/>
          <w:color w:val="auto"/>
          <w:sz w:val="21"/>
          <w:szCs w:val="21"/>
          <w:highlight w:val="none"/>
          <w:lang w:eastAsia="zh-CN"/>
        </w:rPr>
        <w:t>比选人</w:t>
      </w:r>
      <w:r>
        <w:rPr>
          <w:rFonts w:hint="eastAsia"/>
          <w:color w:val="auto"/>
          <w:sz w:val="21"/>
          <w:szCs w:val="21"/>
          <w:highlight w:val="none"/>
        </w:rPr>
        <w:t>；</w:t>
      </w:r>
    </w:p>
    <w:p w14:paraId="16F6ABA7">
      <w:pPr>
        <w:pStyle w:val="31"/>
        <w:spacing w:line="360" w:lineRule="auto"/>
        <w:ind w:firstLine="420" w:firstLineChars="200"/>
        <w:rPr>
          <w:color w:val="auto"/>
          <w:sz w:val="21"/>
          <w:szCs w:val="21"/>
          <w:highlight w:val="none"/>
        </w:rPr>
      </w:pPr>
      <w:r>
        <w:rPr>
          <w:rFonts w:hint="eastAsia"/>
          <w:color w:val="auto"/>
          <w:sz w:val="21"/>
          <w:szCs w:val="21"/>
          <w:highlight w:val="none"/>
          <w:lang w:val="en-US" w:eastAsia="zh-CN"/>
        </w:rPr>
        <w:t>（八）</w:t>
      </w:r>
      <w:r>
        <w:rPr>
          <w:rFonts w:hint="eastAsia"/>
          <w:color w:val="auto"/>
          <w:sz w:val="21"/>
          <w:szCs w:val="21"/>
          <w:highlight w:val="none"/>
        </w:rPr>
        <w:t>电梯解困除按照国家相关规定以及</w:t>
      </w:r>
      <w:r>
        <w:rPr>
          <w:rFonts w:hint="eastAsia"/>
          <w:color w:val="auto"/>
          <w:sz w:val="21"/>
          <w:szCs w:val="21"/>
          <w:highlight w:val="none"/>
          <w:lang w:eastAsia="zh-CN"/>
        </w:rPr>
        <w:t>比选人</w:t>
      </w:r>
      <w:r>
        <w:rPr>
          <w:rFonts w:hint="eastAsia"/>
          <w:color w:val="auto"/>
          <w:sz w:val="21"/>
          <w:szCs w:val="21"/>
          <w:highlight w:val="none"/>
        </w:rPr>
        <w:t>有关电梯乘客处置应急预案等规定执行。</w:t>
      </w:r>
    </w:p>
    <w:p w14:paraId="23631ED2">
      <w:pPr>
        <w:pStyle w:val="31"/>
        <w:spacing w:line="360" w:lineRule="auto"/>
        <w:ind w:firstLine="562" w:firstLineChars="200"/>
        <w:rPr>
          <w:rFonts w:hint="eastAsia"/>
          <w:b/>
          <w:bCs/>
          <w:color w:val="auto"/>
          <w:sz w:val="28"/>
          <w:szCs w:val="28"/>
          <w:highlight w:val="none"/>
        </w:rPr>
      </w:pPr>
      <w:r>
        <w:rPr>
          <w:rFonts w:hint="eastAsia"/>
          <w:b/>
          <w:bCs/>
          <w:color w:val="auto"/>
          <w:sz w:val="28"/>
          <w:szCs w:val="28"/>
          <w:highlight w:val="none"/>
          <w:lang w:eastAsia="zh-CN"/>
        </w:rPr>
        <w:t>六、</w:t>
      </w:r>
      <w:r>
        <w:rPr>
          <w:rFonts w:hint="eastAsia"/>
          <w:b/>
          <w:bCs/>
          <w:color w:val="auto"/>
          <w:sz w:val="28"/>
          <w:szCs w:val="28"/>
          <w:highlight w:val="none"/>
        </w:rPr>
        <w:t>其他要求</w:t>
      </w:r>
    </w:p>
    <w:p w14:paraId="5D25136F">
      <w:pPr>
        <w:pStyle w:val="31"/>
        <w:spacing w:line="360" w:lineRule="auto"/>
        <w:ind w:firstLine="420" w:firstLineChars="200"/>
        <w:rPr>
          <w:rFonts w:hint="eastAsia"/>
          <w:color w:val="auto"/>
          <w:sz w:val="21"/>
          <w:szCs w:val="21"/>
          <w:highlight w:val="none"/>
          <w:lang w:eastAsia="zh-CN"/>
        </w:rPr>
      </w:pPr>
      <w:r>
        <w:rPr>
          <w:rFonts w:hint="eastAsia"/>
          <w:color w:val="auto"/>
          <w:sz w:val="21"/>
          <w:szCs w:val="21"/>
          <w:highlight w:val="none"/>
          <w:lang w:val="en-US" w:eastAsia="zh-CN"/>
        </w:rPr>
        <w:t>（一）</w:t>
      </w:r>
      <w:r>
        <w:rPr>
          <w:rFonts w:hint="eastAsia"/>
          <w:color w:val="auto"/>
          <w:sz w:val="21"/>
          <w:szCs w:val="21"/>
          <w:highlight w:val="none"/>
          <w:lang w:eastAsia="zh-CN"/>
        </w:rPr>
        <w:t>供应商提供合同及附件所规定之外的服务项目时，以报价单形式交比选人确认，经双方另行签订协议后由供应商提供服务。</w:t>
      </w:r>
    </w:p>
    <w:p w14:paraId="28C0E039">
      <w:pPr>
        <w:pStyle w:val="31"/>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（二）设备新增功能或升级改造时：</w:t>
      </w:r>
    </w:p>
    <w:p w14:paraId="4A0709D3">
      <w:pPr>
        <w:pStyle w:val="31"/>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1.在合同履行期间，若设备/系统因国家法律法规、行业标准更新，或经双方协商同意，进行了合法的功能新增、技术升级或必要的硬件改造，则相关的新增部件、软件模块及改造后的整体系统，亦自动纳入本项目的维保范围。</w:t>
      </w:r>
    </w:p>
    <w:p w14:paraId="5A7AA5E5">
      <w:pPr>
        <w:pStyle w:val="31"/>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2.供应商对新增或改造部分的维保责任，自该设备通过验收并实际投入使用之日起计算。维保服务的标准（包括响应时间、服务质量等）仍按本项目原有约定执行。</w:t>
      </w:r>
    </w:p>
    <w:p w14:paraId="015184EF">
      <w:pPr>
        <w:pStyle w:val="31"/>
        <w:spacing w:line="360" w:lineRule="auto"/>
        <w:ind w:firstLine="420" w:firstLineChars="200"/>
        <w:rPr>
          <w:rFonts w:hint="default"/>
          <w:color w:val="auto"/>
          <w:sz w:val="21"/>
          <w:szCs w:val="21"/>
          <w:highlight w:val="none"/>
          <w:lang w:val="en-US" w:eastAsia="zh-CN"/>
        </w:rPr>
      </w:pPr>
      <w:r>
        <w:rPr>
          <w:rFonts w:hint="eastAsia"/>
          <w:color w:val="auto"/>
          <w:sz w:val="21"/>
          <w:szCs w:val="21"/>
          <w:highlight w:val="none"/>
          <w:lang w:val="en-US" w:eastAsia="zh-CN"/>
        </w:rPr>
        <w:t>3.若因新增功能或改造升级导致维保成本发生显著变化的，双方应在实施改造前，依据公平合理的原则，另行协商调整维保费用并签订补充协议。如双方未就费用调整达成一致，供应商仍应承担基础安全保障义务，具体履行方式可由双方参照行业惯例另行协商确定。</w:t>
      </w:r>
    </w:p>
    <w:p w14:paraId="4ACA25D3">
      <w:pPr>
        <w:pStyle w:val="31"/>
        <w:spacing w:line="360" w:lineRule="auto"/>
        <w:ind w:firstLine="420" w:firstLineChars="200"/>
        <w:rPr>
          <w:rFonts w:hint="eastAsia"/>
          <w:b/>
          <w:bCs/>
          <w:color w:val="auto"/>
          <w:sz w:val="21"/>
          <w:szCs w:val="21"/>
          <w:highlight w:val="none"/>
          <w:lang w:eastAsia="zh-CN"/>
        </w:rPr>
      </w:pPr>
      <w:r>
        <w:rPr>
          <w:rFonts w:hint="eastAsia"/>
          <w:color w:val="auto"/>
          <w:sz w:val="21"/>
          <w:szCs w:val="21"/>
          <w:highlight w:val="none"/>
          <w:lang w:val="en-US" w:eastAsia="zh-CN"/>
        </w:rPr>
        <w:t>★</w:t>
      </w:r>
      <w:r>
        <w:rPr>
          <w:rFonts w:hint="eastAsia"/>
          <w:b/>
          <w:bCs/>
          <w:color w:val="auto"/>
          <w:sz w:val="21"/>
          <w:szCs w:val="21"/>
          <w:highlight w:val="none"/>
          <w:lang w:val="en-US" w:eastAsia="zh-CN"/>
        </w:rPr>
        <w:t>（四）供应商须承诺：</w:t>
      </w:r>
      <w:r>
        <w:rPr>
          <w:rFonts w:hint="eastAsia"/>
          <w:b/>
          <w:bCs/>
          <w:color w:val="auto"/>
          <w:sz w:val="21"/>
          <w:szCs w:val="21"/>
          <w:highlight w:val="none"/>
          <w:lang w:eastAsia="zh-CN"/>
        </w:rPr>
        <w:t>供应商所派出的</w:t>
      </w:r>
      <w:r>
        <w:rPr>
          <w:rFonts w:hint="eastAsia"/>
          <w:b/>
          <w:bCs/>
          <w:color w:val="auto"/>
          <w:sz w:val="21"/>
          <w:szCs w:val="21"/>
          <w:highlight w:val="none"/>
          <w:lang w:val="en-US" w:eastAsia="zh-CN"/>
        </w:rPr>
        <w:t>技术</w:t>
      </w:r>
      <w:r>
        <w:rPr>
          <w:rFonts w:hint="eastAsia"/>
          <w:b/>
          <w:bCs/>
          <w:color w:val="auto"/>
          <w:sz w:val="21"/>
          <w:szCs w:val="21"/>
          <w:highlight w:val="none"/>
          <w:lang w:eastAsia="zh-CN"/>
        </w:rPr>
        <w:t>人员必须持有行业主管部门颁发相关从业证书，持证上岗。</w:t>
      </w:r>
      <w:r>
        <w:rPr>
          <w:rFonts w:hint="eastAsia"/>
          <w:b/>
          <w:bCs/>
          <w:color w:val="auto"/>
          <w:sz w:val="21"/>
          <w:szCs w:val="21"/>
          <w:highlight w:val="none"/>
          <w:lang w:val="en-US" w:eastAsia="zh-CN"/>
        </w:rPr>
        <w:t>技术</w:t>
      </w:r>
      <w:r>
        <w:rPr>
          <w:rFonts w:hint="eastAsia"/>
          <w:b/>
          <w:bCs/>
          <w:color w:val="auto"/>
          <w:sz w:val="21"/>
          <w:szCs w:val="21"/>
          <w:highlight w:val="none"/>
          <w:lang w:eastAsia="zh-CN"/>
        </w:rPr>
        <w:t>人员名单必须报现场管理单位备案，派出</w:t>
      </w:r>
      <w:r>
        <w:rPr>
          <w:rFonts w:hint="eastAsia"/>
          <w:b/>
          <w:bCs/>
          <w:color w:val="auto"/>
          <w:sz w:val="21"/>
          <w:szCs w:val="21"/>
          <w:highlight w:val="none"/>
          <w:lang w:val="en-US" w:eastAsia="zh-CN"/>
        </w:rPr>
        <w:t>技术</w:t>
      </w:r>
      <w:r>
        <w:rPr>
          <w:rFonts w:hint="eastAsia"/>
          <w:b/>
          <w:bCs/>
          <w:color w:val="auto"/>
          <w:sz w:val="21"/>
          <w:szCs w:val="21"/>
          <w:highlight w:val="none"/>
          <w:lang w:eastAsia="zh-CN"/>
        </w:rPr>
        <w:t>人员需严格遵守比选人的各项管理制度，服从比选人的工作安排，做好维保工作。供应商不得对派出</w:t>
      </w:r>
      <w:r>
        <w:rPr>
          <w:rFonts w:hint="eastAsia"/>
          <w:b/>
          <w:bCs/>
          <w:color w:val="auto"/>
          <w:sz w:val="21"/>
          <w:szCs w:val="21"/>
          <w:highlight w:val="none"/>
          <w:lang w:val="en-US" w:eastAsia="zh-CN"/>
        </w:rPr>
        <w:t>技术</w:t>
      </w:r>
      <w:r>
        <w:rPr>
          <w:rFonts w:hint="eastAsia"/>
          <w:b/>
          <w:bCs/>
          <w:color w:val="auto"/>
          <w:sz w:val="21"/>
          <w:szCs w:val="21"/>
          <w:highlight w:val="none"/>
          <w:lang w:eastAsia="zh-CN"/>
        </w:rPr>
        <w:t>人员在维修、保养期间另行安排其他单位的维修任务。如需更换调整派出的</w:t>
      </w:r>
      <w:r>
        <w:rPr>
          <w:rFonts w:hint="eastAsia"/>
          <w:b/>
          <w:bCs/>
          <w:color w:val="auto"/>
          <w:sz w:val="21"/>
          <w:szCs w:val="21"/>
          <w:highlight w:val="none"/>
          <w:lang w:val="en-US" w:eastAsia="zh-CN"/>
        </w:rPr>
        <w:t>技术</w:t>
      </w:r>
      <w:r>
        <w:rPr>
          <w:rFonts w:hint="eastAsia"/>
          <w:b/>
          <w:bCs/>
          <w:color w:val="auto"/>
          <w:sz w:val="21"/>
          <w:szCs w:val="21"/>
          <w:highlight w:val="none"/>
          <w:lang w:eastAsia="zh-CN"/>
        </w:rPr>
        <w:t>人员，必须及时通报现场管理单位，并提供更换调整后所派出技术人员的姓名、通讯号码及他们有效的《特种设备作业人员证》</w:t>
      </w:r>
      <w:r>
        <w:rPr>
          <w:rFonts w:hint="eastAsia"/>
          <w:b/>
          <w:bCs/>
          <w:color w:val="auto"/>
          <w:sz w:val="21"/>
          <w:szCs w:val="21"/>
          <w:highlight w:val="none"/>
          <w:lang w:val="en-US" w:eastAsia="zh-CN"/>
        </w:rPr>
        <w:t>（电梯）</w:t>
      </w:r>
      <w:r>
        <w:rPr>
          <w:rFonts w:hint="eastAsia"/>
          <w:b/>
          <w:bCs/>
          <w:color w:val="auto"/>
          <w:sz w:val="21"/>
          <w:szCs w:val="21"/>
          <w:highlight w:val="none"/>
          <w:lang w:eastAsia="zh-CN"/>
        </w:rPr>
        <w:t>复印件（须加中标单位公章）；</w:t>
      </w:r>
      <w:r>
        <w:rPr>
          <w:rFonts w:hint="eastAsia"/>
          <w:b/>
          <w:bCs/>
          <w:sz w:val="21"/>
          <w:szCs w:val="21"/>
          <w:highlight w:val="none"/>
          <w:lang w:val="zh-CN" w:eastAsia="zh-CN"/>
        </w:rPr>
        <w:t>（投标文件须提供承诺函，格式</w:t>
      </w:r>
      <w:r>
        <w:rPr>
          <w:rFonts w:hint="eastAsia"/>
          <w:b/>
          <w:bCs/>
          <w:sz w:val="21"/>
          <w:szCs w:val="21"/>
          <w:highlight w:val="none"/>
          <w:lang w:val="en-US" w:eastAsia="zh-CN"/>
        </w:rPr>
        <w:t>可</w:t>
      </w:r>
      <w:r>
        <w:rPr>
          <w:rFonts w:hint="eastAsia"/>
          <w:b/>
          <w:bCs/>
          <w:sz w:val="21"/>
          <w:szCs w:val="21"/>
          <w:highlight w:val="none"/>
          <w:lang w:val="zh-CN" w:eastAsia="zh-CN"/>
        </w:rPr>
        <w:t>自拟）</w:t>
      </w:r>
    </w:p>
    <w:p w14:paraId="72F2FBE8">
      <w:pPr>
        <w:pStyle w:val="31"/>
        <w:spacing w:line="360" w:lineRule="auto"/>
        <w:ind w:firstLine="420" w:firstLineChars="200"/>
        <w:rPr>
          <w:rFonts w:hint="eastAsia"/>
          <w:color w:val="auto"/>
          <w:sz w:val="21"/>
          <w:szCs w:val="21"/>
          <w:highlight w:val="none"/>
          <w:lang w:eastAsia="zh-CN"/>
        </w:rPr>
      </w:pPr>
      <w:r>
        <w:rPr>
          <w:rFonts w:hint="eastAsia"/>
          <w:color w:val="auto"/>
          <w:sz w:val="21"/>
          <w:szCs w:val="21"/>
          <w:highlight w:val="none"/>
          <w:lang w:val="en-US" w:eastAsia="zh-CN"/>
        </w:rPr>
        <w:t>（五）</w:t>
      </w:r>
      <w:r>
        <w:rPr>
          <w:rFonts w:hint="eastAsia"/>
          <w:color w:val="auto"/>
          <w:sz w:val="21"/>
          <w:szCs w:val="21"/>
          <w:highlight w:val="none"/>
          <w:lang w:eastAsia="zh-CN"/>
        </w:rPr>
        <w:t>按国家、省、市有关法规文件规定，负责做好员工的各种保险、安全等管理工作。如因管理不善出现违法违规事件，由供应商负全责，若给比选人或现场管理单位及第三方造成损失，供应商应负责按额赔偿；</w:t>
      </w:r>
    </w:p>
    <w:p w14:paraId="667D3113">
      <w:pPr>
        <w:pStyle w:val="31"/>
        <w:spacing w:line="360" w:lineRule="auto"/>
        <w:ind w:firstLine="420" w:firstLineChars="200"/>
        <w:rPr>
          <w:rFonts w:hint="eastAsia"/>
          <w:color w:val="auto"/>
          <w:sz w:val="21"/>
          <w:szCs w:val="21"/>
          <w:highlight w:val="none"/>
          <w:lang w:eastAsia="zh-CN"/>
        </w:rPr>
      </w:pPr>
      <w:r>
        <w:rPr>
          <w:rFonts w:hint="eastAsia"/>
          <w:color w:val="auto"/>
          <w:sz w:val="21"/>
          <w:szCs w:val="21"/>
          <w:highlight w:val="none"/>
          <w:lang w:val="en-US" w:eastAsia="zh-CN"/>
        </w:rPr>
        <w:t>（六）</w:t>
      </w:r>
      <w:r>
        <w:rPr>
          <w:rFonts w:hint="eastAsia"/>
          <w:color w:val="auto"/>
          <w:sz w:val="21"/>
          <w:szCs w:val="21"/>
          <w:highlight w:val="none"/>
          <w:lang w:eastAsia="zh-CN"/>
        </w:rPr>
        <w:t>供应商需自行配置本维护项目服务所需设备设施及专业工具等。</w:t>
      </w:r>
    </w:p>
    <w:p w14:paraId="6389C281">
      <w:pPr>
        <w:pStyle w:val="31"/>
        <w:spacing w:line="360" w:lineRule="auto"/>
        <w:ind w:firstLine="420" w:firstLineChars="200"/>
        <w:rPr>
          <w:rFonts w:hint="eastAsia"/>
          <w:color w:val="auto"/>
          <w:sz w:val="21"/>
          <w:szCs w:val="21"/>
          <w:highlight w:val="none"/>
          <w:lang w:eastAsia="zh-CN"/>
        </w:rPr>
      </w:pPr>
      <w:r>
        <w:rPr>
          <w:rFonts w:hint="eastAsia"/>
          <w:color w:val="auto"/>
          <w:sz w:val="21"/>
          <w:szCs w:val="21"/>
          <w:highlight w:val="none"/>
          <w:lang w:val="en-US" w:eastAsia="zh-CN"/>
        </w:rPr>
        <w:t>（七）</w:t>
      </w:r>
      <w:r>
        <w:rPr>
          <w:rFonts w:hint="eastAsia"/>
          <w:color w:val="auto"/>
          <w:sz w:val="21"/>
          <w:szCs w:val="21"/>
          <w:highlight w:val="none"/>
          <w:lang w:eastAsia="zh-CN"/>
        </w:rPr>
        <w:t>保养中产生的各类废弃物，由供应商按照当地环境管理法律法规及有关规定予以处理。</w:t>
      </w:r>
    </w:p>
    <w:p w14:paraId="40FB13C5">
      <w:pPr>
        <w:pStyle w:val="31"/>
        <w:spacing w:line="360" w:lineRule="auto"/>
        <w:ind w:firstLine="420" w:firstLineChars="200"/>
        <w:rPr>
          <w:rFonts w:hint="eastAsia"/>
          <w:color w:val="auto"/>
          <w:sz w:val="21"/>
          <w:szCs w:val="21"/>
          <w:highlight w:val="none"/>
          <w:lang w:eastAsia="zh-CN"/>
        </w:rPr>
      </w:pPr>
      <w:r>
        <w:rPr>
          <w:rFonts w:hint="eastAsia"/>
          <w:color w:val="auto"/>
          <w:sz w:val="21"/>
          <w:szCs w:val="21"/>
          <w:highlight w:val="none"/>
          <w:lang w:val="en-US" w:eastAsia="zh-CN"/>
        </w:rPr>
        <w:t>（八）</w:t>
      </w:r>
      <w:r>
        <w:rPr>
          <w:rFonts w:hint="eastAsia"/>
          <w:color w:val="auto"/>
          <w:sz w:val="21"/>
          <w:szCs w:val="21"/>
          <w:highlight w:val="none"/>
          <w:lang w:eastAsia="zh-CN"/>
        </w:rPr>
        <w:t>如有未尽事宜，双方可另行商定并签订协议作为合同附件。</w:t>
      </w:r>
    </w:p>
    <w:p w14:paraId="5176F57C">
      <w:pPr>
        <w:pStyle w:val="31"/>
        <w:spacing w:line="360" w:lineRule="auto"/>
        <w:ind w:firstLine="420" w:firstLineChars="200"/>
        <w:rPr>
          <w:rFonts w:hint="eastAsia"/>
          <w:color w:val="auto"/>
          <w:sz w:val="21"/>
          <w:szCs w:val="21"/>
          <w:highlight w:val="none"/>
          <w:lang w:eastAsia="zh-CN"/>
        </w:rPr>
      </w:pPr>
      <w:r>
        <w:rPr>
          <w:rFonts w:hint="eastAsia"/>
          <w:color w:val="auto"/>
          <w:sz w:val="21"/>
          <w:szCs w:val="21"/>
          <w:highlight w:val="none"/>
          <w:lang w:val="en-US" w:eastAsia="zh-CN"/>
        </w:rPr>
        <w:t>（九）</w:t>
      </w:r>
      <w:r>
        <w:rPr>
          <w:rFonts w:hint="eastAsia"/>
          <w:color w:val="auto"/>
          <w:sz w:val="21"/>
          <w:szCs w:val="21"/>
          <w:highlight w:val="none"/>
          <w:lang w:eastAsia="zh-CN"/>
        </w:rPr>
        <w:t>除双方签订的合同以外，经双方确认的附件、协议，均视为合同的组成部分，具有同等效力。</w:t>
      </w:r>
    </w:p>
    <w:p w14:paraId="72C2632F">
      <w:pPr>
        <w:pStyle w:val="31"/>
        <w:spacing w:line="360" w:lineRule="auto"/>
        <w:ind w:firstLine="562" w:firstLineChars="200"/>
        <w:rPr>
          <w:rFonts w:hint="eastAsia"/>
          <w:color w:val="auto"/>
          <w:sz w:val="21"/>
          <w:szCs w:val="21"/>
          <w:highlight w:val="none"/>
        </w:rPr>
      </w:pPr>
      <w:r>
        <w:rPr>
          <w:rFonts w:hint="eastAsia"/>
          <w:b/>
          <w:bCs/>
          <w:color w:val="auto"/>
          <w:sz w:val="28"/>
          <w:szCs w:val="28"/>
          <w:highlight w:val="none"/>
          <w:lang w:eastAsia="zh-CN"/>
        </w:rPr>
        <w:t>七、</w:t>
      </w:r>
      <w:r>
        <w:rPr>
          <w:rFonts w:hint="eastAsia"/>
          <w:b/>
          <w:bCs/>
          <w:color w:val="auto"/>
          <w:sz w:val="28"/>
          <w:szCs w:val="28"/>
          <w:highlight w:val="none"/>
        </w:rPr>
        <w:t>售后服务要求</w:t>
      </w:r>
    </w:p>
    <w:p w14:paraId="1C5BEC1B">
      <w:pPr>
        <w:pStyle w:val="31"/>
        <w:spacing w:line="360" w:lineRule="auto"/>
        <w:ind w:firstLine="420" w:firstLineChars="200"/>
        <w:rPr>
          <w:rFonts w:hint="eastAsia"/>
          <w:color w:val="auto"/>
          <w:sz w:val="21"/>
          <w:szCs w:val="21"/>
          <w:highlight w:val="none"/>
        </w:rPr>
      </w:pPr>
      <w:r>
        <w:rPr>
          <w:rFonts w:hint="eastAsia"/>
          <w:color w:val="auto"/>
          <w:sz w:val="21"/>
          <w:szCs w:val="21"/>
          <w:highlight w:val="none"/>
          <w:lang w:val="en-US" w:eastAsia="zh-CN"/>
        </w:rPr>
        <w:t>（一）</w:t>
      </w:r>
      <w:r>
        <w:rPr>
          <w:rFonts w:hint="eastAsia"/>
          <w:color w:val="auto"/>
          <w:sz w:val="21"/>
          <w:szCs w:val="21"/>
          <w:highlight w:val="none"/>
        </w:rPr>
        <w:t>维保服务的受理时间为：全天24小时，一年365天（含公众假期与节假日）。</w:t>
      </w:r>
      <w:r>
        <w:rPr>
          <w:rFonts w:hint="eastAsia"/>
          <w:color w:val="auto"/>
          <w:sz w:val="21"/>
          <w:szCs w:val="21"/>
          <w:highlight w:val="none"/>
          <w:lang w:eastAsia="zh-CN"/>
        </w:rPr>
        <w:t>供应商须</w:t>
      </w:r>
      <w:r>
        <w:rPr>
          <w:rFonts w:hint="eastAsia"/>
          <w:color w:val="auto"/>
          <w:sz w:val="21"/>
          <w:szCs w:val="21"/>
          <w:highlight w:val="none"/>
        </w:rPr>
        <w:t>按照国家相关要求对电梯进行维护保养，24小时提供紧急故障处理和意外事件的技术性服务（必须提供24小时报修电话，并保持通畅）。</w:t>
      </w:r>
    </w:p>
    <w:p w14:paraId="1E28039B">
      <w:pPr>
        <w:pStyle w:val="31"/>
        <w:spacing w:line="360" w:lineRule="auto"/>
        <w:ind w:firstLine="420" w:firstLineChars="200"/>
        <w:rPr>
          <w:rFonts w:hint="eastAsia"/>
          <w:color w:val="auto"/>
          <w:sz w:val="21"/>
          <w:szCs w:val="21"/>
          <w:highlight w:val="none"/>
        </w:rPr>
      </w:pPr>
      <w:r>
        <w:rPr>
          <w:rFonts w:hint="eastAsia"/>
          <w:color w:val="auto"/>
          <w:sz w:val="21"/>
          <w:szCs w:val="21"/>
          <w:highlight w:val="none"/>
          <w:lang w:val="en-US" w:eastAsia="zh-CN"/>
        </w:rPr>
        <w:t>（二）</w:t>
      </w:r>
      <w:r>
        <w:rPr>
          <w:rFonts w:hint="eastAsia"/>
          <w:color w:val="auto"/>
          <w:sz w:val="21"/>
          <w:szCs w:val="21"/>
          <w:highlight w:val="none"/>
          <w:lang w:eastAsia="zh-CN"/>
        </w:rPr>
        <w:t>供应商</w:t>
      </w:r>
      <w:r>
        <w:rPr>
          <w:rFonts w:hint="eastAsia"/>
          <w:color w:val="auto"/>
          <w:sz w:val="21"/>
          <w:szCs w:val="21"/>
          <w:highlight w:val="none"/>
        </w:rPr>
        <w:t>须根据本地技监部门要求完成电梯巡查工作，并做好</w:t>
      </w:r>
      <w:r>
        <w:rPr>
          <w:rFonts w:hint="eastAsia"/>
          <w:color w:val="auto"/>
          <w:sz w:val="21"/>
          <w:szCs w:val="21"/>
          <w:highlight w:val="none"/>
          <w:lang w:eastAsia="zh-CN"/>
        </w:rPr>
        <w:t>相关</w:t>
      </w:r>
      <w:r>
        <w:rPr>
          <w:rFonts w:hint="eastAsia"/>
          <w:color w:val="auto"/>
          <w:sz w:val="21"/>
          <w:szCs w:val="21"/>
          <w:highlight w:val="none"/>
        </w:rPr>
        <w:t>记录；</w:t>
      </w:r>
    </w:p>
    <w:p w14:paraId="1192A69A">
      <w:pPr>
        <w:pStyle w:val="31"/>
        <w:spacing w:line="360" w:lineRule="auto"/>
        <w:ind w:firstLine="420" w:firstLineChars="200"/>
        <w:rPr>
          <w:rFonts w:hint="eastAsia"/>
          <w:color w:val="auto"/>
          <w:sz w:val="21"/>
          <w:szCs w:val="21"/>
          <w:highlight w:val="none"/>
        </w:rPr>
      </w:pPr>
      <w:r>
        <w:rPr>
          <w:rFonts w:hint="eastAsia"/>
          <w:color w:val="auto"/>
          <w:sz w:val="21"/>
          <w:szCs w:val="21"/>
          <w:highlight w:val="none"/>
          <w:lang w:val="en-US" w:eastAsia="zh-CN"/>
        </w:rPr>
        <w:t>（三）项目包括以下情况的维修费用：正常保养所需的耗材，如：电梯内风扇、照明或其他灯具，电梯按键等耗材类配件。（详见附表2《电梯维保易耗件目录》，包含但不限于目录内容）</w:t>
      </w:r>
    </w:p>
    <w:p w14:paraId="08434D02">
      <w:pPr>
        <w:pStyle w:val="31"/>
        <w:spacing w:line="360" w:lineRule="auto"/>
        <w:ind w:firstLine="562" w:firstLineChars="200"/>
        <w:rPr>
          <w:rFonts w:hint="eastAsia"/>
          <w:b/>
          <w:bCs/>
          <w:color w:val="auto"/>
          <w:sz w:val="28"/>
          <w:szCs w:val="28"/>
          <w:highlight w:val="none"/>
        </w:rPr>
      </w:pPr>
      <w:r>
        <w:rPr>
          <w:rFonts w:hint="eastAsia"/>
          <w:b/>
          <w:bCs/>
          <w:color w:val="auto"/>
          <w:sz w:val="28"/>
          <w:szCs w:val="28"/>
          <w:highlight w:val="none"/>
          <w:lang w:eastAsia="zh-CN"/>
        </w:rPr>
        <w:t>八、</w:t>
      </w:r>
      <w:r>
        <w:rPr>
          <w:rFonts w:hint="eastAsia"/>
          <w:b/>
          <w:bCs/>
          <w:color w:val="auto"/>
          <w:sz w:val="28"/>
          <w:szCs w:val="28"/>
          <w:highlight w:val="none"/>
        </w:rPr>
        <w:t>责任条款</w:t>
      </w:r>
    </w:p>
    <w:p w14:paraId="2B696B7C">
      <w:pPr>
        <w:pStyle w:val="31"/>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（一）由于电梯保养不善造成人员和财产损失的，供应商须负责赔偿。不可抗力造成的损失除外；</w:t>
      </w:r>
    </w:p>
    <w:p w14:paraId="02BD3754">
      <w:pPr>
        <w:pStyle w:val="31"/>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（二）电梯到期年检不合格，供应商承担电梯复验的检测费用；</w:t>
      </w:r>
    </w:p>
    <w:p w14:paraId="23E022DF">
      <w:pPr>
        <w:pStyle w:val="31"/>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（三）供应商须制订严谨的安全规程规范，遵守国家、省及地方各项有关安全规定。供应商所派出的技术人员人身安全、保险等由供应商全面负责，与比选人无关；</w:t>
      </w:r>
    </w:p>
    <w:p w14:paraId="093D9127">
      <w:pPr>
        <w:pStyle w:val="31"/>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（四）供应商须根据国家相关要求购买维修范围内电梯的电梯责任保险和人员责任安全保险，保险费包含在维保费用内，比选人不作另外支付。</w:t>
      </w:r>
    </w:p>
    <w:p w14:paraId="75E08A88">
      <w:pPr>
        <w:pStyle w:val="31"/>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（五）出现以下情形之一的，比选人有权立即解除项目合同，且不承担任何赔偿责任：</w:t>
      </w:r>
    </w:p>
    <w:p w14:paraId="397C8C0C">
      <w:pPr>
        <w:pStyle w:val="31"/>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1.因供应商提供的材料、配件不合格或操作不当，导致发生重大安全事故（造成1人以上重伤或5万元以上财产损失）或造成严重不良社会影响的；</w:t>
      </w:r>
    </w:p>
    <w:p w14:paraId="0C66758E">
      <w:pPr>
        <w:pStyle w:val="31"/>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2.供应商无正当理由拒绝履行主要维修保养义务超过3日；</w:t>
      </w:r>
    </w:p>
    <w:p w14:paraId="5EC3C98A">
      <w:pPr>
        <w:pStyle w:val="31"/>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3.供应商被查实存在伪造资质、虚假承诺等严重欺诈行为；</w:t>
      </w:r>
    </w:p>
    <w:p w14:paraId="2AD18CAD">
      <w:pPr>
        <w:pStyle w:val="31"/>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4.供应商工作人员与患者发生肢体冲突或造成恶劣社会影响的不文明行为。</w:t>
      </w:r>
    </w:p>
    <w:p w14:paraId="2C89D9BA">
      <w:pPr>
        <w:pStyle w:val="31"/>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5.供应商无正当理由，拒绝履行应急抢险、防汛防台等突击性任务，经比选人催促后仍不履行的。</w:t>
      </w:r>
    </w:p>
    <w:p w14:paraId="1E08DD10">
      <w:pPr>
        <w:pStyle w:val="31"/>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（六）除项目合同约定或法律规定的比选人有权单方解除合同的情形外：</w:t>
      </w:r>
    </w:p>
    <w:p w14:paraId="4504CEEB">
      <w:pPr>
        <w:pStyle w:val="31"/>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1.若供应商擅自停止服务，则构成根本违约。比选人有权单方解除合同，供应商应向比选人支付相当于本项目服务费总额30%的违约金。</w:t>
      </w:r>
    </w:p>
    <w:p w14:paraId="5BAA065E">
      <w:pPr>
        <w:pStyle w:val="31"/>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2.若供应商拟提前终止合同，应至少提前90日向比选人提交书面申请并陈述理由。如比选人书面同意，双方应签署《合同解除协议》；如比选人不同意或无正当理由，供应商仍坚持终止的，则参照前款约定承担违约责任。合同终止日以合同实际停止履行之日或双方在《合同解除协议》中约定的终止日为准。</w:t>
      </w:r>
    </w:p>
    <w:p w14:paraId="105D2019">
      <w:pPr>
        <w:pStyle w:val="31"/>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3.供应商必须严格履行本项目的过渡期服务义务，直至新的供应商进场接替。若供应商违反过渡期义务，比选人有权从其应付款项中直接扣除损失，并保留进一步追偿的权利。</w:t>
      </w:r>
    </w:p>
    <w:p w14:paraId="4F109E47">
      <w:pPr>
        <w:pStyle w:val="31"/>
        <w:spacing w:line="360" w:lineRule="auto"/>
        <w:ind w:firstLine="562" w:firstLineChars="200"/>
        <w:rPr>
          <w:rFonts w:hint="eastAsia"/>
          <w:b/>
          <w:bCs/>
          <w:color w:val="auto"/>
          <w:sz w:val="28"/>
          <w:szCs w:val="28"/>
          <w:highlight w:val="none"/>
          <w:lang w:val="en-US" w:eastAsia="zh-CN"/>
        </w:rPr>
      </w:pPr>
      <w:r>
        <w:rPr>
          <w:rFonts w:hint="eastAsia"/>
          <w:b/>
          <w:bCs/>
          <w:color w:val="auto"/>
          <w:sz w:val="28"/>
          <w:szCs w:val="28"/>
          <w:highlight w:val="none"/>
          <w:lang w:val="en-US" w:eastAsia="zh-CN"/>
        </w:rPr>
        <w:t>九、付款方式：每个季度比选人按照附表1进行考核</w:t>
      </w:r>
    </w:p>
    <w:p w14:paraId="0EDDF932">
      <w:pPr>
        <w:pStyle w:val="31"/>
        <w:spacing w:line="360" w:lineRule="auto"/>
        <w:ind w:firstLine="420" w:firstLineChars="200"/>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比选人按季度支付维护保养费，具体支付时间和金额为：每季度结算一次，每次支付金额=合同总价÷4</w:t>
      </w:r>
      <w:r>
        <w:rPr>
          <w:rFonts w:hint="eastAsia"/>
          <w:highlight w:val="none"/>
          <w:lang w:val="en-US" w:eastAsia="zh-CN"/>
        </w:rPr>
        <w:t>-</w:t>
      </w:r>
      <w:r>
        <w:rPr>
          <w:rFonts w:hint="eastAsia" w:ascii="宋体" w:hAnsi="宋体" w:eastAsia="宋体" w:cs="宋体"/>
          <w:b w:val="0"/>
          <w:bCs w:val="0"/>
          <w:color w:val="auto"/>
          <w:kern w:val="0"/>
          <w:sz w:val="21"/>
          <w:szCs w:val="21"/>
          <w:highlight w:val="none"/>
          <w:lang w:val="en-US" w:eastAsia="zh-CN" w:bidi="ar"/>
        </w:rPr>
        <w:t>季度质控违约金</w:t>
      </w:r>
      <w:r>
        <w:rPr>
          <w:rFonts w:hint="eastAsia"/>
          <w:b w:val="0"/>
          <w:bCs w:val="0"/>
          <w:color w:val="auto"/>
          <w:sz w:val="21"/>
          <w:szCs w:val="21"/>
          <w:highlight w:val="none"/>
          <w:lang w:val="en-US" w:eastAsia="zh-CN"/>
        </w:rPr>
        <w:t>。（季度质控违约金：如考核综合评分达不到合格标准，即参照考核办法进行处罚，具体考核标准详见附表1：《电梯维保工作质控表》。）</w:t>
      </w:r>
    </w:p>
    <w:p w14:paraId="70E7B81E">
      <w:pPr>
        <w:pStyle w:val="31"/>
        <w:spacing w:line="360" w:lineRule="auto"/>
        <w:ind w:firstLine="420" w:firstLineChars="200"/>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每季服务结束后，供应商提供：（1）与当季结算金额一致的正式发票；（2）维保记录及故障登记表；（3）《电梯维保工作质控表》。上述资料经比选人考核合格签字验收后，于30个工作日内支付相应款项。</w:t>
      </w:r>
    </w:p>
    <w:p w14:paraId="00E01677">
      <w:pPr>
        <w:pStyle w:val="31"/>
        <w:spacing w:line="360" w:lineRule="auto"/>
        <w:ind w:firstLine="562" w:firstLineChars="200"/>
        <w:rPr>
          <w:rFonts w:hint="eastAsia"/>
          <w:b/>
          <w:bCs/>
          <w:color w:val="auto"/>
          <w:sz w:val="28"/>
          <w:szCs w:val="28"/>
          <w:highlight w:val="none"/>
          <w:lang w:val="en-US" w:eastAsia="zh-CN"/>
        </w:rPr>
      </w:pPr>
      <w:r>
        <w:rPr>
          <w:rFonts w:hint="eastAsia"/>
          <w:b/>
          <w:bCs/>
          <w:color w:val="auto"/>
          <w:sz w:val="28"/>
          <w:szCs w:val="28"/>
          <w:highlight w:val="none"/>
          <w:lang w:val="en-US" w:eastAsia="zh-CN"/>
        </w:rPr>
        <w:t>十、比选人配合条件</w:t>
      </w:r>
    </w:p>
    <w:p w14:paraId="2F045639">
      <w:pPr>
        <w:pStyle w:val="31"/>
        <w:spacing w:line="360" w:lineRule="auto"/>
        <w:ind w:firstLine="420" w:firstLineChars="200"/>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供应商在投标文件中可列明在项目实施过程中要求比选人提供的配合条件，所列配合条件比选人将尽量配合解决，但不代表比选人全部接受，比选人有权全部或部分拒绝供应商提出的配合条件。</w:t>
      </w:r>
    </w:p>
    <w:p w14:paraId="27673072">
      <w:pPr>
        <w:pStyle w:val="31"/>
        <w:spacing w:line="360" w:lineRule="auto"/>
        <w:rPr>
          <w:rFonts w:hint="eastAsia"/>
          <w:color w:val="auto"/>
          <w:sz w:val="21"/>
          <w:szCs w:val="21"/>
          <w:highlight w:val="none"/>
          <w:lang w:val="en-US" w:eastAsia="zh-CN"/>
        </w:rPr>
      </w:pPr>
      <w:r>
        <w:rPr>
          <w:rFonts w:hint="eastAsia"/>
          <w:color w:val="auto"/>
          <w:sz w:val="21"/>
          <w:szCs w:val="21"/>
          <w:highlight w:val="none"/>
          <w:lang w:eastAsia="zh-CN"/>
        </w:rPr>
        <w:br w:type="page"/>
      </w:r>
      <w:r>
        <w:rPr>
          <w:rFonts w:hint="eastAsia"/>
          <w:color w:val="auto"/>
          <w:sz w:val="21"/>
          <w:szCs w:val="21"/>
          <w:highlight w:val="none"/>
          <w:lang w:eastAsia="zh-CN"/>
        </w:rPr>
        <w:t>附表</w:t>
      </w:r>
      <w:r>
        <w:rPr>
          <w:rFonts w:hint="eastAsia"/>
          <w:color w:val="auto"/>
          <w:sz w:val="21"/>
          <w:szCs w:val="21"/>
          <w:highlight w:val="none"/>
          <w:lang w:val="en-US" w:eastAsia="zh-CN"/>
        </w:rPr>
        <w:t>1：</w:t>
      </w:r>
    </w:p>
    <w:p w14:paraId="2AC1329F">
      <w:pPr>
        <w:pStyle w:val="31"/>
        <w:spacing w:line="360" w:lineRule="auto"/>
        <w:jc w:val="center"/>
        <w:rPr>
          <w:rFonts w:hint="eastAsia"/>
          <w:b/>
          <w:bCs/>
          <w:color w:val="auto"/>
          <w:sz w:val="28"/>
          <w:szCs w:val="28"/>
          <w:highlight w:val="none"/>
        </w:rPr>
      </w:pPr>
      <w:r>
        <w:rPr>
          <w:rFonts w:hint="eastAsia"/>
          <w:b/>
          <w:bCs/>
          <w:color w:val="auto"/>
          <w:sz w:val="28"/>
          <w:szCs w:val="28"/>
          <w:highlight w:val="none"/>
        </w:rPr>
        <w:t>电梯维保工作质控表</w:t>
      </w:r>
    </w:p>
    <w:p w14:paraId="44613678">
      <w:pPr>
        <w:pStyle w:val="31"/>
        <w:spacing w:line="360" w:lineRule="auto"/>
        <w:jc w:val="right"/>
        <w:rPr>
          <w:rFonts w:hint="eastAsia"/>
          <w:color w:val="auto"/>
          <w:sz w:val="21"/>
          <w:szCs w:val="21"/>
          <w:highlight w:val="none"/>
        </w:rPr>
      </w:pPr>
      <w:r>
        <w:rPr>
          <w:rFonts w:hint="eastAsia"/>
          <w:color w:val="auto"/>
          <w:sz w:val="21"/>
          <w:szCs w:val="21"/>
          <w:highlight w:val="none"/>
          <w:lang w:val="en-US" w:eastAsia="zh-CN"/>
        </w:rPr>
        <w:t xml:space="preserve">    </w:t>
      </w:r>
      <w:r>
        <w:rPr>
          <w:rFonts w:hint="eastAsia"/>
          <w:color w:val="auto"/>
          <w:sz w:val="21"/>
          <w:szCs w:val="21"/>
          <w:highlight w:val="none"/>
        </w:rPr>
        <w:t xml:space="preserve">  年</w:t>
      </w:r>
      <w:r>
        <w:rPr>
          <w:rFonts w:hint="eastAsia"/>
          <w:color w:val="auto"/>
          <w:sz w:val="21"/>
          <w:szCs w:val="21"/>
          <w:highlight w:val="none"/>
          <w:lang w:val="en-US" w:eastAsia="zh-CN"/>
        </w:rPr>
        <w:t xml:space="preserve">    </w:t>
      </w:r>
      <w:r>
        <w:rPr>
          <w:rFonts w:hint="eastAsia"/>
          <w:color w:val="auto"/>
          <w:sz w:val="21"/>
          <w:szCs w:val="21"/>
          <w:highlight w:val="none"/>
        </w:rPr>
        <w:t xml:space="preserve">月 </w:t>
      </w:r>
      <w:r>
        <w:rPr>
          <w:rFonts w:hint="eastAsia"/>
          <w:color w:val="auto"/>
          <w:sz w:val="21"/>
          <w:szCs w:val="21"/>
          <w:highlight w:val="none"/>
          <w:lang w:val="en-US" w:eastAsia="zh-CN"/>
        </w:rPr>
        <w:t xml:space="preserve">  </w:t>
      </w:r>
      <w:r>
        <w:rPr>
          <w:rFonts w:hint="eastAsia"/>
          <w:color w:val="auto"/>
          <w:sz w:val="21"/>
          <w:szCs w:val="21"/>
          <w:highlight w:val="none"/>
        </w:rPr>
        <w:t xml:space="preserve"> 日</w:t>
      </w:r>
      <w:r>
        <w:rPr>
          <w:rFonts w:hint="eastAsia"/>
          <w:color w:val="auto"/>
          <w:sz w:val="21"/>
          <w:szCs w:val="21"/>
          <w:highlight w:val="none"/>
          <w:lang w:val="en-US" w:eastAsia="zh-CN"/>
        </w:rPr>
        <w:t xml:space="preserve">  </w:t>
      </w:r>
      <w:r>
        <w:rPr>
          <w:rFonts w:hint="eastAsia"/>
          <w:color w:val="auto"/>
          <w:sz w:val="21"/>
          <w:szCs w:val="21"/>
          <w:highlight w:val="none"/>
        </w:rPr>
        <w:t>—</w:t>
      </w:r>
      <w:r>
        <w:rPr>
          <w:rFonts w:hint="eastAsia"/>
          <w:color w:val="auto"/>
          <w:sz w:val="21"/>
          <w:szCs w:val="21"/>
          <w:highlight w:val="none"/>
          <w:lang w:val="en-US" w:eastAsia="zh-CN"/>
        </w:rPr>
        <w:t xml:space="preserve"> </w:t>
      </w:r>
      <w:r>
        <w:rPr>
          <w:rFonts w:hint="eastAsia"/>
          <w:color w:val="auto"/>
          <w:sz w:val="21"/>
          <w:szCs w:val="21"/>
          <w:highlight w:val="none"/>
        </w:rPr>
        <w:t>年</w:t>
      </w:r>
      <w:r>
        <w:rPr>
          <w:rFonts w:hint="eastAsia"/>
          <w:color w:val="auto"/>
          <w:sz w:val="21"/>
          <w:szCs w:val="21"/>
          <w:highlight w:val="none"/>
          <w:lang w:val="en-US" w:eastAsia="zh-CN"/>
        </w:rPr>
        <w:t xml:space="preserve">    </w:t>
      </w:r>
      <w:r>
        <w:rPr>
          <w:rFonts w:hint="eastAsia"/>
          <w:color w:val="auto"/>
          <w:sz w:val="21"/>
          <w:szCs w:val="21"/>
          <w:highlight w:val="none"/>
        </w:rPr>
        <w:t>月</w:t>
      </w:r>
      <w:r>
        <w:rPr>
          <w:rFonts w:hint="eastAsia"/>
          <w:color w:val="auto"/>
          <w:sz w:val="21"/>
          <w:szCs w:val="21"/>
          <w:highlight w:val="none"/>
          <w:lang w:val="en-US" w:eastAsia="zh-CN"/>
        </w:rPr>
        <w:t xml:space="preserve"> </w:t>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color w:val="auto"/>
          <w:sz w:val="21"/>
          <w:szCs w:val="21"/>
          <w:highlight w:val="none"/>
        </w:rPr>
        <w:t xml:space="preserve"> 日</w:t>
      </w:r>
    </w:p>
    <w:tbl>
      <w:tblPr>
        <w:tblStyle w:val="34"/>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41"/>
        <w:gridCol w:w="573"/>
        <w:gridCol w:w="2730"/>
        <w:gridCol w:w="2725"/>
        <w:gridCol w:w="560"/>
        <w:gridCol w:w="547"/>
        <w:gridCol w:w="631"/>
      </w:tblGrid>
      <w:tr w14:paraId="45286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26" w:type="pct"/>
            <w:noWrap w:val="0"/>
            <w:vAlign w:val="center"/>
          </w:tcPr>
          <w:p w14:paraId="272FD803">
            <w:pPr>
              <w:spacing w:before="103" w:line="360" w:lineRule="auto"/>
              <w:ind w:firstLine="142"/>
              <w:rPr>
                <w:rFonts w:hint="eastAsia" w:ascii="宋体" w:hAnsi="宋体" w:eastAsia="宋体" w:cs="宋体"/>
                <w:b/>
                <w:bCs/>
                <w:color w:val="auto"/>
                <w:sz w:val="21"/>
                <w:szCs w:val="21"/>
                <w:highlight w:val="none"/>
              </w:rPr>
            </w:pPr>
            <w:r>
              <w:rPr>
                <w:rFonts w:hint="eastAsia" w:ascii="宋体" w:hAnsi="宋体" w:eastAsia="宋体" w:cs="宋体"/>
                <w:b/>
                <w:bCs/>
                <w:color w:val="auto"/>
                <w:spacing w:val="-5"/>
                <w:sz w:val="21"/>
                <w:szCs w:val="21"/>
                <w:highlight w:val="none"/>
              </w:rPr>
              <w:t>序号</w:t>
            </w:r>
          </w:p>
        </w:tc>
        <w:tc>
          <w:tcPr>
            <w:tcW w:w="345" w:type="pct"/>
            <w:noWrap w:val="0"/>
            <w:vAlign w:val="center"/>
          </w:tcPr>
          <w:p w14:paraId="3F05EDC2">
            <w:pPr>
              <w:spacing w:before="103" w:line="360" w:lineRule="auto"/>
              <w:ind w:firstLine="140"/>
              <w:rPr>
                <w:rFonts w:hint="eastAsia" w:ascii="宋体" w:hAnsi="宋体" w:eastAsia="宋体" w:cs="宋体"/>
                <w:b/>
                <w:bCs/>
                <w:color w:val="auto"/>
                <w:sz w:val="21"/>
                <w:szCs w:val="21"/>
                <w:highlight w:val="none"/>
              </w:rPr>
            </w:pPr>
            <w:r>
              <w:rPr>
                <w:rFonts w:hint="eastAsia" w:ascii="宋体" w:hAnsi="宋体" w:eastAsia="宋体" w:cs="宋体"/>
                <w:b/>
                <w:bCs/>
                <w:color w:val="auto"/>
                <w:spacing w:val="-7"/>
                <w:sz w:val="21"/>
                <w:szCs w:val="21"/>
                <w:highlight w:val="none"/>
              </w:rPr>
              <w:t>项目</w:t>
            </w:r>
          </w:p>
        </w:tc>
        <w:tc>
          <w:tcPr>
            <w:tcW w:w="3282" w:type="pct"/>
            <w:gridSpan w:val="2"/>
            <w:noWrap w:val="0"/>
            <w:vAlign w:val="center"/>
          </w:tcPr>
          <w:p w14:paraId="5F59A05E">
            <w:pPr>
              <w:spacing w:before="103" w:line="360" w:lineRule="auto"/>
              <w:ind w:firstLine="2318"/>
              <w:rPr>
                <w:rFonts w:hint="eastAsia" w:ascii="宋体" w:hAnsi="宋体" w:eastAsia="宋体" w:cs="宋体"/>
                <w:b/>
                <w:bCs/>
                <w:color w:val="auto"/>
                <w:sz w:val="21"/>
                <w:szCs w:val="21"/>
                <w:highlight w:val="none"/>
              </w:rPr>
            </w:pPr>
            <w:r>
              <w:rPr>
                <w:rFonts w:hint="eastAsia" w:ascii="宋体" w:hAnsi="宋体" w:eastAsia="宋体" w:cs="宋体"/>
                <w:b/>
                <w:bCs/>
                <w:color w:val="auto"/>
                <w:spacing w:val="-3"/>
                <w:sz w:val="21"/>
                <w:szCs w:val="21"/>
                <w:highlight w:val="none"/>
              </w:rPr>
              <w:t>考核事项</w:t>
            </w:r>
          </w:p>
        </w:tc>
        <w:tc>
          <w:tcPr>
            <w:tcW w:w="337" w:type="pct"/>
            <w:noWrap w:val="0"/>
            <w:vAlign w:val="center"/>
          </w:tcPr>
          <w:p w14:paraId="52E46ACE">
            <w:pPr>
              <w:spacing w:before="103" w:line="360" w:lineRule="auto"/>
              <w:ind w:firstLine="137"/>
              <w:rPr>
                <w:rFonts w:hint="eastAsia" w:ascii="宋体" w:hAnsi="宋体" w:eastAsia="宋体" w:cs="宋体"/>
                <w:b/>
                <w:bCs/>
                <w:color w:val="auto"/>
                <w:sz w:val="21"/>
                <w:szCs w:val="21"/>
                <w:highlight w:val="none"/>
              </w:rPr>
            </w:pPr>
            <w:r>
              <w:rPr>
                <w:rFonts w:hint="eastAsia" w:ascii="宋体" w:hAnsi="宋体" w:eastAsia="宋体" w:cs="宋体"/>
                <w:b/>
                <w:bCs/>
                <w:color w:val="auto"/>
                <w:spacing w:val="-6"/>
                <w:sz w:val="21"/>
                <w:szCs w:val="21"/>
                <w:highlight w:val="none"/>
              </w:rPr>
              <w:t>分值</w:t>
            </w:r>
          </w:p>
        </w:tc>
        <w:tc>
          <w:tcPr>
            <w:tcW w:w="329" w:type="pct"/>
            <w:noWrap w:val="0"/>
            <w:vAlign w:val="center"/>
          </w:tcPr>
          <w:p w14:paraId="2B299303">
            <w:pPr>
              <w:spacing w:before="103" w:line="360" w:lineRule="auto"/>
              <w:ind w:firstLine="193"/>
              <w:rPr>
                <w:rFonts w:hint="eastAsia" w:ascii="宋体" w:hAnsi="宋体" w:eastAsia="宋体" w:cs="宋体"/>
                <w:b/>
                <w:bCs/>
                <w:color w:val="auto"/>
                <w:sz w:val="21"/>
                <w:szCs w:val="21"/>
                <w:highlight w:val="none"/>
              </w:rPr>
            </w:pPr>
            <w:r>
              <w:rPr>
                <w:rFonts w:hint="eastAsia" w:ascii="宋体" w:hAnsi="宋体" w:eastAsia="宋体" w:cs="宋体"/>
                <w:b/>
                <w:bCs/>
                <w:color w:val="auto"/>
                <w:spacing w:val="-5"/>
                <w:sz w:val="21"/>
                <w:szCs w:val="21"/>
                <w:highlight w:val="none"/>
              </w:rPr>
              <w:t>评分</w:t>
            </w:r>
          </w:p>
        </w:tc>
        <w:tc>
          <w:tcPr>
            <w:tcW w:w="378" w:type="pct"/>
            <w:noWrap w:val="0"/>
            <w:vAlign w:val="center"/>
          </w:tcPr>
          <w:p w14:paraId="0504CD6B">
            <w:pPr>
              <w:spacing w:before="103" w:line="360" w:lineRule="auto"/>
              <w:ind w:firstLine="271"/>
              <w:rPr>
                <w:rFonts w:hint="eastAsia" w:ascii="宋体" w:hAnsi="宋体" w:eastAsia="宋体" w:cs="宋体"/>
                <w:b/>
                <w:bCs/>
                <w:color w:val="auto"/>
                <w:sz w:val="21"/>
                <w:szCs w:val="21"/>
                <w:highlight w:val="none"/>
              </w:rPr>
            </w:pPr>
            <w:r>
              <w:rPr>
                <w:rFonts w:hint="eastAsia" w:ascii="宋体" w:hAnsi="宋体" w:eastAsia="宋体" w:cs="宋体"/>
                <w:b/>
                <w:bCs/>
                <w:color w:val="auto"/>
                <w:spacing w:val="-6"/>
                <w:sz w:val="21"/>
                <w:szCs w:val="21"/>
                <w:highlight w:val="none"/>
              </w:rPr>
              <w:t>备注</w:t>
            </w:r>
          </w:p>
        </w:tc>
      </w:tr>
      <w:tr w14:paraId="47023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26" w:type="pct"/>
            <w:noWrap w:val="0"/>
            <w:vAlign w:val="center"/>
          </w:tcPr>
          <w:p w14:paraId="785D97EC">
            <w:pPr>
              <w:spacing w:before="63" w:line="36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45" w:type="pct"/>
            <w:vMerge w:val="restart"/>
            <w:tcBorders>
              <w:bottom w:val="nil"/>
            </w:tcBorders>
            <w:noWrap w:val="0"/>
            <w:vAlign w:val="center"/>
          </w:tcPr>
          <w:p w14:paraId="6EDF1ACC">
            <w:pPr>
              <w:spacing w:before="68" w:line="360" w:lineRule="auto"/>
              <w:ind w:firstLine="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w:t>
            </w:r>
          </w:p>
          <w:p w14:paraId="19B8D48A">
            <w:pPr>
              <w:spacing w:line="360" w:lineRule="auto"/>
              <w:ind w:firstLine="24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料</w:t>
            </w:r>
          </w:p>
          <w:p w14:paraId="66AE8D43">
            <w:pPr>
              <w:spacing w:before="38" w:line="360" w:lineRule="auto"/>
              <w:ind w:firstLine="2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w:t>
            </w:r>
          </w:p>
          <w:p w14:paraId="5E27FFEF">
            <w:pPr>
              <w:spacing w:before="64" w:line="360" w:lineRule="auto"/>
              <w:ind w:firstLine="2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理</w:t>
            </w:r>
          </w:p>
          <w:p w14:paraId="1824D338">
            <w:pPr>
              <w:spacing w:before="64" w:line="360" w:lineRule="auto"/>
              <w:ind w:firstLine="245"/>
              <w:rPr>
                <w:rFonts w:hint="eastAsia" w:ascii="宋体" w:hAnsi="宋体" w:eastAsia="宋体" w:cs="宋体"/>
                <w:color w:val="auto"/>
                <w:sz w:val="21"/>
                <w:szCs w:val="21"/>
                <w:highlight w:val="none"/>
              </w:rPr>
            </w:pPr>
          </w:p>
          <w:p w14:paraId="1B13E62B">
            <w:pPr>
              <w:spacing w:before="61" w:line="360" w:lineRule="auto"/>
              <w:ind w:firstLine="140"/>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val="en-US" w:eastAsia="zh-CN"/>
              </w:rPr>
              <w:t>11</w:t>
            </w:r>
            <w:r>
              <w:rPr>
                <w:rFonts w:hint="eastAsia" w:ascii="宋体" w:hAnsi="宋体" w:eastAsia="宋体" w:cs="宋体"/>
                <w:color w:val="auto"/>
                <w:spacing w:val="-4"/>
                <w:sz w:val="21"/>
                <w:szCs w:val="21"/>
                <w:highlight w:val="none"/>
              </w:rPr>
              <w:t>分</w:t>
            </w:r>
          </w:p>
        </w:tc>
        <w:tc>
          <w:tcPr>
            <w:tcW w:w="3282" w:type="pct"/>
            <w:gridSpan w:val="2"/>
            <w:noWrap w:val="0"/>
            <w:vAlign w:val="center"/>
          </w:tcPr>
          <w:p w14:paraId="080F8D35">
            <w:pPr>
              <w:spacing w:before="31" w:line="360" w:lineRule="auto"/>
              <w:ind w:left="212" w:leftChars="101" w:firstLine="6"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有维护保养计划，并按计划开展维保工作</w:t>
            </w:r>
          </w:p>
        </w:tc>
        <w:tc>
          <w:tcPr>
            <w:tcW w:w="337" w:type="pct"/>
            <w:noWrap w:val="0"/>
            <w:vAlign w:val="center"/>
          </w:tcPr>
          <w:p w14:paraId="41A633D7">
            <w:pPr>
              <w:spacing w:before="64" w:line="360" w:lineRule="auto"/>
              <w:ind w:firstLine="297"/>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329" w:type="pct"/>
            <w:noWrap w:val="0"/>
            <w:vAlign w:val="top"/>
          </w:tcPr>
          <w:p w14:paraId="0FBF43CB">
            <w:pPr>
              <w:spacing w:line="360" w:lineRule="auto"/>
              <w:rPr>
                <w:rFonts w:hint="eastAsia" w:ascii="宋体" w:hAnsi="宋体" w:eastAsia="宋体" w:cs="宋体"/>
                <w:color w:val="auto"/>
                <w:sz w:val="21"/>
                <w:szCs w:val="21"/>
                <w:highlight w:val="none"/>
              </w:rPr>
            </w:pPr>
          </w:p>
        </w:tc>
        <w:tc>
          <w:tcPr>
            <w:tcW w:w="378" w:type="pct"/>
            <w:noWrap w:val="0"/>
            <w:vAlign w:val="top"/>
          </w:tcPr>
          <w:p w14:paraId="318C0052">
            <w:pPr>
              <w:spacing w:line="360" w:lineRule="auto"/>
              <w:rPr>
                <w:rFonts w:hint="eastAsia" w:ascii="宋体" w:hAnsi="宋体" w:eastAsia="宋体" w:cs="宋体"/>
                <w:color w:val="auto"/>
                <w:sz w:val="21"/>
                <w:szCs w:val="21"/>
                <w:highlight w:val="none"/>
              </w:rPr>
            </w:pPr>
          </w:p>
        </w:tc>
      </w:tr>
      <w:tr w14:paraId="477F8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26" w:type="pct"/>
            <w:noWrap w:val="0"/>
            <w:vAlign w:val="center"/>
          </w:tcPr>
          <w:p w14:paraId="0FC3CC5E">
            <w:pPr>
              <w:spacing w:before="65" w:line="36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45" w:type="pct"/>
            <w:vMerge w:val="continue"/>
            <w:tcBorders>
              <w:top w:val="nil"/>
              <w:bottom w:val="nil"/>
            </w:tcBorders>
            <w:noWrap w:val="0"/>
            <w:vAlign w:val="top"/>
          </w:tcPr>
          <w:p w14:paraId="52C0F4E4">
            <w:pPr>
              <w:spacing w:line="360" w:lineRule="auto"/>
              <w:rPr>
                <w:rFonts w:hint="eastAsia" w:ascii="宋体" w:hAnsi="宋体" w:eastAsia="宋体" w:cs="宋体"/>
                <w:color w:val="auto"/>
                <w:sz w:val="21"/>
                <w:szCs w:val="21"/>
                <w:highlight w:val="none"/>
              </w:rPr>
            </w:pPr>
          </w:p>
        </w:tc>
        <w:tc>
          <w:tcPr>
            <w:tcW w:w="3282" w:type="pct"/>
            <w:gridSpan w:val="2"/>
            <w:noWrap w:val="0"/>
            <w:vAlign w:val="center"/>
          </w:tcPr>
          <w:p w14:paraId="7F844F47">
            <w:pPr>
              <w:spacing w:before="32" w:line="360" w:lineRule="auto"/>
              <w:ind w:left="212" w:leftChars="101" w:firstLine="6"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每次维修保养记录完整有甲方签名确认</w:t>
            </w:r>
          </w:p>
        </w:tc>
        <w:tc>
          <w:tcPr>
            <w:tcW w:w="337" w:type="pct"/>
            <w:noWrap w:val="0"/>
            <w:vAlign w:val="center"/>
          </w:tcPr>
          <w:p w14:paraId="7D59AC43">
            <w:pPr>
              <w:spacing w:before="65" w:line="360" w:lineRule="auto"/>
              <w:ind w:firstLine="297"/>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p>
        </w:tc>
        <w:tc>
          <w:tcPr>
            <w:tcW w:w="329" w:type="pct"/>
            <w:noWrap w:val="0"/>
            <w:vAlign w:val="top"/>
          </w:tcPr>
          <w:p w14:paraId="185944C6">
            <w:pPr>
              <w:spacing w:line="360" w:lineRule="auto"/>
              <w:rPr>
                <w:rFonts w:hint="eastAsia" w:ascii="宋体" w:hAnsi="宋体" w:eastAsia="宋体" w:cs="宋体"/>
                <w:color w:val="auto"/>
                <w:sz w:val="21"/>
                <w:szCs w:val="21"/>
                <w:highlight w:val="none"/>
              </w:rPr>
            </w:pPr>
          </w:p>
        </w:tc>
        <w:tc>
          <w:tcPr>
            <w:tcW w:w="378" w:type="pct"/>
            <w:noWrap w:val="0"/>
            <w:vAlign w:val="top"/>
          </w:tcPr>
          <w:p w14:paraId="69731C9A">
            <w:pPr>
              <w:spacing w:line="360" w:lineRule="auto"/>
              <w:rPr>
                <w:rFonts w:hint="eastAsia" w:ascii="宋体" w:hAnsi="宋体" w:eastAsia="宋体" w:cs="宋体"/>
                <w:color w:val="auto"/>
                <w:sz w:val="21"/>
                <w:szCs w:val="21"/>
                <w:highlight w:val="none"/>
              </w:rPr>
            </w:pPr>
          </w:p>
        </w:tc>
      </w:tr>
      <w:tr w14:paraId="2FE15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26" w:type="pct"/>
            <w:noWrap w:val="0"/>
            <w:vAlign w:val="center"/>
          </w:tcPr>
          <w:p w14:paraId="6CDDB621">
            <w:pPr>
              <w:spacing w:before="65" w:line="36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45" w:type="pct"/>
            <w:vMerge w:val="continue"/>
            <w:tcBorders>
              <w:top w:val="nil"/>
              <w:bottom w:val="nil"/>
            </w:tcBorders>
            <w:noWrap w:val="0"/>
            <w:vAlign w:val="top"/>
          </w:tcPr>
          <w:p w14:paraId="68225EDC">
            <w:pPr>
              <w:spacing w:line="360" w:lineRule="auto"/>
              <w:rPr>
                <w:rFonts w:hint="eastAsia" w:ascii="宋体" w:hAnsi="宋体" w:eastAsia="宋体" w:cs="宋体"/>
                <w:color w:val="auto"/>
                <w:sz w:val="21"/>
                <w:szCs w:val="21"/>
                <w:highlight w:val="none"/>
              </w:rPr>
            </w:pPr>
          </w:p>
        </w:tc>
        <w:tc>
          <w:tcPr>
            <w:tcW w:w="3282" w:type="pct"/>
            <w:gridSpan w:val="2"/>
            <w:noWrap w:val="0"/>
            <w:vAlign w:val="center"/>
          </w:tcPr>
          <w:p w14:paraId="0CA82153">
            <w:pPr>
              <w:spacing w:before="32" w:line="360" w:lineRule="auto"/>
              <w:ind w:left="212" w:leftChars="101" w:firstLine="6" w:firstLineChars="0"/>
              <w:jc w:val="both"/>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电梯轿门“防扒门”标识齐全完整</w:t>
            </w:r>
          </w:p>
        </w:tc>
        <w:tc>
          <w:tcPr>
            <w:tcW w:w="337" w:type="pct"/>
            <w:noWrap w:val="0"/>
            <w:vAlign w:val="center"/>
          </w:tcPr>
          <w:p w14:paraId="4B291BA0">
            <w:pPr>
              <w:spacing w:before="64" w:line="360" w:lineRule="auto"/>
              <w:ind w:firstLine="297"/>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329" w:type="pct"/>
            <w:noWrap w:val="0"/>
            <w:vAlign w:val="top"/>
          </w:tcPr>
          <w:p w14:paraId="1B013FF9">
            <w:pPr>
              <w:spacing w:line="360" w:lineRule="auto"/>
              <w:rPr>
                <w:rFonts w:hint="eastAsia" w:ascii="宋体" w:hAnsi="宋体" w:eastAsia="宋体" w:cs="宋体"/>
                <w:color w:val="auto"/>
                <w:sz w:val="21"/>
                <w:szCs w:val="21"/>
                <w:highlight w:val="none"/>
              </w:rPr>
            </w:pPr>
          </w:p>
        </w:tc>
        <w:tc>
          <w:tcPr>
            <w:tcW w:w="378" w:type="pct"/>
            <w:noWrap w:val="0"/>
            <w:vAlign w:val="top"/>
          </w:tcPr>
          <w:p w14:paraId="590729A5">
            <w:pPr>
              <w:spacing w:line="360" w:lineRule="auto"/>
              <w:rPr>
                <w:rFonts w:hint="eastAsia" w:ascii="宋体" w:hAnsi="宋体" w:eastAsia="宋体" w:cs="宋体"/>
                <w:color w:val="auto"/>
                <w:sz w:val="21"/>
                <w:szCs w:val="21"/>
                <w:highlight w:val="none"/>
              </w:rPr>
            </w:pPr>
          </w:p>
        </w:tc>
      </w:tr>
      <w:tr w14:paraId="228DB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26" w:type="pct"/>
            <w:noWrap w:val="0"/>
            <w:vAlign w:val="center"/>
          </w:tcPr>
          <w:p w14:paraId="3326020A">
            <w:pPr>
              <w:spacing w:before="65" w:line="36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45" w:type="pct"/>
            <w:vMerge w:val="continue"/>
            <w:tcBorders>
              <w:top w:val="nil"/>
              <w:bottom w:val="nil"/>
            </w:tcBorders>
            <w:noWrap w:val="0"/>
            <w:vAlign w:val="top"/>
          </w:tcPr>
          <w:p w14:paraId="4F273062">
            <w:pPr>
              <w:spacing w:line="360" w:lineRule="auto"/>
              <w:rPr>
                <w:rFonts w:hint="eastAsia" w:ascii="宋体" w:hAnsi="宋体" w:eastAsia="宋体" w:cs="宋体"/>
                <w:color w:val="auto"/>
                <w:sz w:val="21"/>
                <w:szCs w:val="21"/>
                <w:highlight w:val="none"/>
              </w:rPr>
            </w:pPr>
          </w:p>
        </w:tc>
        <w:tc>
          <w:tcPr>
            <w:tcW w:w="3282" w:type="pct"/>
            <w:gridSpan w:val="2"/>
            <w:noWrap w:val="0"/>
            <w:vAlign w:val="center"/>
          </w:tcPr>
          <w:p w14:paraId="4A345C63">
            <w:pPr>
              <w:spacing w:before="31" w:line="360" w:lineRule="auto"/>
              <w:ind w:left="212" w:leftChars="101" w:firstLine="6"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轿厢内“使用标志、维保标志、保险单”规范盒内张贴</w:t>
            </w:r>
          </w:p>
        </w:tc>
        <w:tc>
          <w:tcPr>
            <w:tcW w:w="337" w:type="pct"/>
            <w:noWrap w:val="0"/>
            <w:vAlign w:val="center"/>
          </w:tcPr>
          <w:p w14:paraId="143A8780">
            <w:pPr>
              <w:spacing w:before="65" w:line="360" w:lineRule="auto"/>
              <w:ind w:firstLine="297"/>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329" w:type="pct"/>
            <w:noWrap w:val="0"/>
            <w:vAlign w:val="top"/>
          </w:tcPr>
          <w:p w14:paraId="3F929ED8">
            <w:pPr>
              <w:spacing w:line="360" w:lineRule="auto"/>
              <w:rPr>
                <w:rFonts w:hint="eastAsia" w:ascii="宋体" w:hAnsi="宋体" w:eastAsia="宋体" w:cs="宋体"/>
                <w:color w:val="auto"/>
                <w:sz w:val="21"/>
                <w:szCs w:val="21"/>
                <w:highlight w:val="none"/>
              </w:rPr>
            </w:pPr>
          </w:p>
        </w:tc>
        <w:tc>
          <w:tcPr>
            <w:tcW w:w="378" w:type="pct"/>
            <w:noWrap w:val="0"/>
            <w:vAlign w:val="top"/>
          </w:tcPr>
          <w:p w14:paraId="14C3B091">
            <w:pPr>
              <w:spacing w:line="360" w:lineRule="auto"/>
              <w:rPr>
                <w:rFonts w:hint="eastAsia" w:ascii="宋体" w:hAnsi="宋体" w:eastAsia="宋体" w:cs="宋体"/>
                <w:color w:val="auto"/>
                <w:sz w:val="21"/>
                <w:szCs w:val="21"/>
                <w:highlight w:val="none"/>
              </w:rPr>
            </w:pPr>
          </w:p>
        </w:tc>
      </w:tr>
      <w:tr w14:paraId="3002D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26" w:type="pct"/>
            <w:noWrap w:val="0"/>
            <w:vAlign w:val="center"/>
          </w:tcPr>
          <w:p w14:paraId="16D7FAC4">
            <w:pPr>
              <w:spacing w:before="65" w:line="36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45" w:type="pct"/>
            <w:vMerge w:val="continue"/>
            <w:tcBorders>
              <w:top w:val="nil"/>
              <w:bottom w:val="nil"/>
            </w:tcBorders>
            <w:noWrap w:val="0"/>
            <w:vAlign w:val="top"/>
          </w:tcPr>
          <w:p w14:paraId="4EE19C15">
            <w:pPr>
              <w:spacing w:line="360" w:lineRule="auto"/>
              <w:rPr>
                <w:rFonts w:hint="eastAsia" w:ascii="宋体" w:hAnsi="宋体" w:eastAsia="宋体" w:cs="宋体"/>
                <w:color w:val="auto"/>
                <w:sz w:val="21"/>
                <w:szCs w:val="21"/>
                <w:highlight w:val="none"/>
              </w:rPr>
            </w:pPr>
          </w:p>
        </w:tc>
        <w:tc>
          <w:tcPr>
            <w:tcW w:w="3282" w:type="pct"/>
            <w:gridSpan w:val="2"/>
            <w:noWrap w:val="0"/>
            <w:vAlign w:val="center"/>
          </w:tcPr>
          <w:p w14:paraId="79D47DE2">
            <w:pPr>
              <w:spacing w:before="32" w:line="360" w:lineRule="auto"/>
              <w:ind w:left="212" w:leftChars="101" w:firstLine="6"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零配件更换有送货单及验收记录（双方签名确认）</w:t>
            </w:r>
          </w:p>
        </w:tc>
        <w:tc>
          <w:tcPr>
            <w:tcW w:w="337" w:type="pct"/>
            <w:noWrap w:val="0"/>
            <w:vAlign w:val="center"/>
          </w:tcPr>
          <w:p w14:paraId="7421895C">
            <w:pPr>
              <w:spacing w:before="65" w:line="360" w:lineRule="auto"/>
              <w:ind w:firstLine="29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29" w:type="pct"/>
            <w:noWrap w:val="0"/>
            <w:vAlign w:val="top"/>
          </w:tcPr>
          <w:p w14:paraId="1F6F34BC">
            <w:pPr>
              <w:spacing w:line="360" w:lineRule="auto"/>
              <w:rPr>
                <w:rFonts w:hint="eastAsia" w:ascii="宋体" w:hAnsi="宋体" w:eastAsia="宋体" w:cs="宋体"/>
                <w:color w:val="auto"/>
                <w:sz w:val="21"/>
                <w:szCs w:val="21"/>
                <w:highlight w:val="none"/>
              </w:rPr>
            </w:pPr>
          </w:p>
        </w:tc>
        <w:tc>
          <w:tcPr>
            <w:tcW w:w="378" w:type="pct"/>
            <w:noWrap w:val="0"/>
            <w:vAlign w:val="top"/>
          </w:tcPr>
          <w:p w14:paraId="1898705D">
            <w:pPr>
              <w:spacing w:line="360" w:lineRule="auto"/>
              <w:rPr>
                <w:rFonts w:hint="eastAsia" w:ascii="宋体" w:hAnsi="宋体" w:eastAsia="宋体" w:cs="宋体"/>
                <w:color w:val="auto"/>
                <w:sz w:val="21"/>
                <w:szCs w:val="21"/>
                <w:highlight w:val="none"/>
              </w:rPr>
            </w:pPr>
          </w:p>
        </w:tc>
      </w:tr>
      <w:tr w14:paraId="6B2EC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26" w:type="pct"/>
            <w:noWrap w:val="0"/>
            <w:vAlign w:val="center"/>
          </w:tcPr>
          <w:p w14:paraId="6B0C6499">
            <w:pPr>
              <w:spacing w:before="65" w:line="360" w:lineRule="auto"/>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345" w:type="pct"/>
            <w:vMerge w:val="continue"/>
            <w:tcBorders>
              <w:top w:val="nil"/>
            </w:tcBorders>
            <w:noWrap w:val="0"/>
            <w:vAlign w:val="top"/>
          </w:tcPr>
          <w:p w14:paraId="31A72C99">
            <w:pPr>
              <w:spacing w:line="360" w:lineRule="auto"/>
              <w:rPr>
                <w:rFonts w:hint="eastAsia" w:ascii="宋体" w:hAnsi="宋体" w:eastAsia="宋体" w:cs="宋体"/>
                <w:color w:val="auto"/>
                <w:sz w:val="21"/>
                <w:szCs w:val="21"/>
                <w:highlight w:val="none"/>
              </w:rPr>
            </w:pPr>
          </w:p>
        </w:tc>
        <w:tc>
          <w:tcPr>
            <w:tcW w:w="3282" w:type="pct"/>
            <w:gridSpan w:val="2"/>
            <w:noWrap w:val="0"/>
            <w:vAlign w:val="center"/>
          </w:tcPr>
          <w:p w14:paraId="05229CD6">
            <w:pPr>
              <w:spacing w:before="87" w:line="360" w:lineRule="auto"/>
              <w:ind w:left="212" w:leftChars="101" w:right="113" w:firstLine="6"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大、中修及更新改造隐蔽工程有现场照片记录及竣工验收</w:t>
            </w:r>
            <w:r>
              <w:rPr>
                <w:rFonts w:hint="eastAsia" w:ascii="宋体" w:hAnsi="宋体" w:eastAsia="宋体" w:cs="宋体"/>
                <w:color w:val="auto"/>
                <w:spacing w:val="-3"/>
                <w:sz w:val="21"/>
                <w:szCs w:val="21"/>
                <w:highlight w:val="none"/>
              </w:rPr>
              <w:t>记录存档</w:t>
            </w:r>
          </w:p>
        </w:tc>
        <w:tc>
          <w:tcPr>
            <w:tcW w:w="337" w:type="pct"/>
            <w:noWrap w:val="0"/>
            <w:vAlign w:val="center"/>
          </w:tcPr>
          <w:p w14:paraId="0E8B3A9A">
            <w:pPr>
              <w:spacing w:before="255" w:line="360" w:lineRule="auto"/>
              <w:ind w:firstLine="29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29" w:type="pct"/>
            <w:noWrap w:val="0"/>
            <w:vAlign w:val="top"/>
          </w:tcPr>
          <w:p w14:paraId="67AF5F37">
            <w:pPr>
              <w:spacing w:line="360" w:lineRule="auto"/>
              <w:rPr>
                <w:rFonts w:hint="eastAsia" w:ascii="宋体" w:hAnsi="宋体" w:eastAsia="宋体" w:cs="宋体"/>
                <w:color w:val="auto"/>
                <w:sz w:val="21"/>
                <w:szCs w:val="21"/>
                <w:highlight w:val="none"/>
              </w:rPr>
            </w:pPr>
          </w:p>
        </w:tc>
        <w:tc>
          <w:tcPr>
            <w:tcW w:w="378" w:type="pct"/>
            <w:noWrap w:val="0"/>
            <w:vAlign w:val="top"/>
          </w:tcPr>
          <w:p w14:paraId="25CE2E07">
            <w:pPr>
              <w:spacing w:line="360" w:lineRule="auto"/>
              <w:rPr>
                <w:rFonts w:hint="eastAsia" w:ascii="宋体" w:hAnsi="宋体" w:eastAsia="宋体" w:cs="宋体"/>
                <w:color w:val="auto"/>
                <w:sz w:val="21"/>
                <w:szCs w:val="21"/>
                <w:highlight w:val="none"/>
              </w:rPr>
            </w:pPr>
          </w:p>
        </w:tc>
      </w:tr>
      <w:tr w14:paraId="58FE7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26" w:type="pct"/>
            <w:noWrap w:val="0"/>
            <w:vAlign w:val="center"/>
          </w:tcPr>
          <w:p w14:paraId="648923BA">
            <w:pPr>
              <w:spacing w:before="65" w:line="36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45" w:type="pct"/>
            <w:vMerge w:val="restart"/>
            <w:tcBorders>
              <w:bottom w:val="nil"/>
            </w:tcBorders>
            <w:noWrap w:val="0"/>
            <w:vAlign w:val="center"/>
          </w:tcPr>
          <w:p w14:paraId="2717A930">
            <w:pPr>
              <w:spacing w:before="68" w:line="360" w:lineRule="auto"/>
              <w:ind w:firstLine="24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w:t>
            </w:r>
          </w:p>
          <w:p w14:paraId="778061F1">
            <w:pPr>
              <w:spacing w:line="360" w:lineRule="auto"/>
              <w:ind w:firstLine="24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础</w:t>
            </w:r>
          </w:p>
          <w:p w14:paraId="2CC24446">
            <w:pPr>
              <w:spacing w:before="40" w:line="360" w:lineRule="auto"/>
              <w:ind w:firstLine="24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w:t>
            </w:r>
          </w:p>
          <w:p w14:paraId="7911352A">
            <w:pPr>
              <w:spacing w:before="61" w:line="360" w:lineRule="auto"/>
              <w:ind w:firstLine="24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准</w:t>
            </w:r>
          </w:p>
          <w:p w14:paraId="5E08E48E">
            <w:pPr>
              <w:spacing w:before="61" w:line="360" w:lineRule="auto"/>
              <w:ind w:firstLine="244"/>
              <w:rPr>
                <w:rFonts w:hint="eastAsia" w:ascii="宋体" w:hAnsi="宋体" w:eastAsia="宋体" w:cs="宋体"/>
                <w:color w:val="auto"/>
                <w:sz w:val="21"/>
                <w:szCs w:val="21"/>
                <w:highlight w:val="none"/>
              </w:rPr>
            </w:pPr>
          </w:p>
          <w:p w14:paraId="3E1A7B5A">
            <w:pPr>
              <w:spacing w:before="65" w:line="360" w:lineRule="auto"/>
              <w:ind w:firstLine="136"/>
              <w:rPr>
                <w:rFonts w:hint="eastAsia" w:ascii="宋体" w:hAnsi="宋体" w:eastAsia="宋体" w:cs="宋体"/>
                <w:color w:val="auto"/>
                <w:sz w:val="21"/>
                <w:szCs w:val="21"/>
                <w:highlight w:val="none"/>
              </w:rPr>
            </w:pPr>
            <w:r>
              <w:rPr>
                <w:rFonts w:hint="eastAsia" w:ascii="宋体" w:hAnsi="宋体" w:cs="宋体"/>
                <w:color w:val="auto"/>
                <w:spacing w:val="-3"/>
                <w:sz w:val="21"/>
                <w:szCs w:val="21"/>
                <w:highlight w:val="none"/>
                <w:lang w:val="en-US" w:eastAsia="zh-CN"/>
              </w:rPr>
              <w:t>45</w:t>
            </w:r>
            <w:r>
              <w:rPr>
                <w:rFonts w:hint="eastAsia" w:ascii="宋体" w:hAnsi="宋体" w:eastAsia="宋体" w:cs="宋体"/>
                <w:color w:val="auto"/>
                <w:spacing w:val="-3"/>
                <w:sz w:val="21"/>
                <w:szCs w:val="21"/>
                <w:highlight w:val="none"/>
              </w:rPr>
              <w:t>分</w:t>
            </w:r>
          </w:p>
        </w:tc>
        <w:tc>
          <w:tcPr>
            <w:tcW w:w="3282" w:type="pct"/>
            <w:gridSpan w:val="2"/>
            <w:noWrap w:val="0"/>
            <w:vAlign w:val="center"/>
          </w:tcPr>
          <w:p w14:paraId="5E3FC0EE">
            <w:pPr>
              <w:spacing w:before="32" w:line="360" w:lineRule="auto"/>
              <w:ind w:left="212" w:leftChars="101" w:firstLine="6"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技术</w:t>
            </w:r>
            <w:r>
              <w:rPr>
                <w:rFonts w:hint="eastAsia" w:ascii="宋体" w:hAnsi="宋体" w:eastAsia="宋体" w:cs="宋体"/>
                <w:color w:val="auto"/>
                <w:spacing w:val="-1"/>
                <w:sz w:val="21"/>
                <w:szCs w:val="21"/>
                <w:highlight w:val="none"/>
              </w:rPr>
              <w:t>人员着工衣、佩戴工牌</w:t>
            </w:r>
          </w:p>
        </w:tc>
        <w:tc>
          <w:tcPr>
            <w:tcW w:w="337" w:type="pct"/>
            <w:noWrap w:val="0"/>
            <w:vAlign w:val="center"/>
          </w:tcPr>
          <w:p w14:paraId="7E2F5697">
            <w:pPr>
              <w:spacing w:before="65" w:line="360" w:lineRule="auto"/>
              <w:ind w:firstLine="295"/>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329" w:type="pct"/>
            <w:noWrap w:val="0"/>
            <w:vAlign w:val="top"/>
          </w:tcPr>
          <w:p w14:paraId="6EF02ECE">
            <w:pPr>
              <w:spacing w:line="360" w:lineRule="auto"/>
              <w:rPr>
                <w:rFonts w:hint="eastAsia" w:ascii="宋体" w:hAnsi="宋体" w:eastAsia="宋体" w:cs="宋体"/>
                <w:color w:val="auto"/>
                <w:sz w:val="21"/>
                <w:szCs w:val="21"/>
                <w:highlight w:val="none"/>
              </w:rPr>
            </w:pPr>
          </w:p>
        </w:tc>
        <w:tc>
          <w:tcPr>
            <w:tcW w:w="378" w:type="pct"/>
            <w:noWrap w:val="0"/>
            <w:vAlign w:val="top"/>
          </w:tcPr>
          <w:p w14:paraId="0A78865C">
            <w:pPr>
              <w:spacing w:line="360" w:lineRule="auto"/>
              <w:rPr>
                <w:rFonts w:hint="eastAsia" w:ascii="宋体" w:hAnsi="宋体" w:eastAsia="宋体" w:cs="宋体"/>
                <w:color w:val="auto"/>
                <w:sz w:val="21"/>
                <w:szCs w:val="21"/>
                <w:highlight w:val="none"/>
              </w:rPr>
            </w:pPr>
          </w:p>
        </w:tc>
      </w:tr>
      <w:tr w14:paraId="4165C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26" w:type="pct"/>
            <w:noWrap w:val="0"/>
            <w:vAlign w:val="center"/>
          </w:tcPr>
          <w:p w14:paraId="6C5574A1">
            <w:pPr>
              <w:spacing w:before="65" w:line="360" w:lineRule="auto"/>
              <w:ind w:firstLine="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0"/>
                <w:w w:val="100"/>
                <w:sz w:val="21"/>
                <w:szCs w:val="21"/>
                <w:highlight w:val="none"/>
                <w:lang w:val="en-US" w:eastAsia="zh-CN"/>
              </w:rPr>
              <w:t>8</w:t>
            </w:r>
          </w:p>
        </w:tc>
        <w:tc>
          <w:tcPr>
            <w:tcW w:w="345" w:type="pct"/>
            <w:vMerge w:val="continue"/>
            <w:tcBorders>
              <w:top w:val="nil"/>
              <w:bottom w:val="nil"/>
            </w:tcBorders>
            <w:noWrap w:val="0"/>
            <w:vAlign w:val="top"/>
          </w:tcPr>
          <w:p w14:paraId="63D79627">
            <w:pPr>
              <w:spacing w:line="360" w:lineRule="auto"/>
              <w:rPr>
                <w:rFonts w:hint="eastAsia" w:ascii="宋体" w:hAnsi="宋体" w:eastAsia="宋体" w:cs="宋体"/>
                <w:color w:val="auto"/>
                <w:sz w:val="21"/>
                <w:szCs w:val="21"/>
                <w:highlight w:val="none"/>
              </w:rPr>
            </w:pPr>
          </w:p>
        </w:tc>
        <w:tc>
          <w:tcPr>
            <w:tcW w:w="3282" w:type="pct"/>
            <w:gridSpan w:val="2"/>
            <w:noWrap w:val="0"/>
            <w:vAlign w:val="center"/>
          </w:tcPr>
          <w:p w14:paraId="2D9E847B">
            <w:pPr>
              <w:spacing w:before="32" w:line="360" w:lineRule="auto"/>
              <w:ind w:left="212" w:leftChars="101" w:firstLine="6"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电梯每次保养完成后是否及时通知签单确认</w:t>
            </w:r>
          </w:p>
        </w:tc>
        <w:tc>
          <w:tcPr>
            <w:tcW w:w="337" w:type="pct"/>
            <w:noWrap w:val="0"/>
            <w:vAlign w:val="center"/>
          </w:tcPr>
          <w:p w14:paraId="368EBC62">
            <w:pPr>
              <w:spacing w:before="66" w:line="360" w:lineRule="auto"/>
              <w:ind w:firstLine="297"/>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329" w:type="pct"/>
            <w:noWrap w:val="0"/>
            <w:vAlign w:val="top"/>
          </w:tcPr>
          <w:p w14:paraId="67177A7E">
            <w:pPr>
              <w:spacing w:line="360" w:lineRule="auto"/>
              <w:rPr>
                <w:rFonts w:hint="eastAsia" w:ascii="宋体" w:hAnsi="宋体" w:eastAsia="宋体" w:cs="宋体"/>
                <w:color w:val="auto"/>
                <w:sz w:val="21"/>
                <w:szCs w:val="21"/>
                <w:highlight w:val="none"/>
              </w:rPr>
            </w:pPr>
          </w:p>
        </w:tc>
        <w:tc>
          <w:tcPr>
            <w:tcW w:w="378" w:type="pct"/>
            <w:noWrap w:val="0"/>
            <w:vAlign w:val="top"/>
          </w:tcPr>
          <w:p w14:paraId="52D37561">
            <w:pPr>
              <w:spacing w:line="360" w:lineRule="auto"/>
              <w:rPr>
                <w:rFonts w:hint="eastAsia" w:ascii="宋体" w:hAnsi="宋体" w:eastAsia="宋体" w:cs="宋体"/>
                <w:color w:val="auto"/>
                <w:sz w:val="21"/>
                <w:szCs w:val="21"/>
                <w:highlight w:val="none"/>
              </w:rPr>
            </w:pPr>
          </w:p>
        </w:tc>
      </w:tr>
      <w:tr w14:paraId="4C3A3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26" w:type="pct"/>
            <w:noWrap w:val="0"/>
            <w:vAlign w:val="center"/>
          </w:tcPr>
          <w:p w14:paraId="75CDAEF4">
            <w:pPr>
              <w:spacing w:before="65" w:line="360" w:lineRule="auto"/>
              <w:ind w:firstLine="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0"/>
                <w:w w:val="100"/>
                <w:sz w:val="21"/>
                <w:szCs w:val="21"/>
                <w:highlight w:val="none"/>
                <w:lang w:val="en-US" w:eastAsia="zh-CN"/>
              </w:rPr>
              <w:t>9</w:t>
            </w:r>
          </w:p>
        </w:tc>
        <w:tc>
          <w:tcPr>
            <w:tcW w:w="345" w:type="pct"/>
            <w:vMerge w:val="continue"/>
            <w:tcBorders>
              <w:top w:val="nil"/>
              <w:bottom w:val="nil"/>
            </w:tcBorders>
            <w:noWrap w:val="0"/>
            <w:vAlign w:val="top"/>
          </w:tcPr>
          <w:p w14:paraId="70040610">
            <w:pPr>
              <w:spacing w:line="360" w:lineRule="auto"/>
              <w:rPr>
                <w:rFonts w:hint="eastAsia" w:ascii="宋体" w:hAnsi="宋体" w:eastAsia="宋体" w:cs="宋体"/>
                <w:color w:val="auto"/>
                <w:sz w:val="21"/>
                <w:szCs w:val="21"/>
                <w:highlight w:val="none"/>
              </w:rPr>
            </w:pPr>
          </w:p>
        </w:tc>
        <w:tc>
          <w:tcPr>
            <w:tcW w:w="3282" w:type="pct"/>
            <w:gridSpan w:val="2"/>
            <w:noWrap w:val="0"/>
            <w:vAlign w:val="center"/>
          </w:tcPr>
          <w:p w14:paraId="4F1CE912">
            <w:pPr>
              <w:spacing w:before="110" w:line="360" w:lineRule="auto"/>
              <w:ind w:left="212" w:leftChars="101" w:firstLine="6"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电梯每次故障停梯维修后是否及时填写维修记录单</w:t>
            </w:r>
          </w:p>
        </w:tc>
        <w:tc>
          <w:tcPr>
            <w:tcW w:w="337" w:type="pct"/>
            <w:noWrap w:val="0"/>
            <w:vAlign w:val="center"/>
          </w:tcPr>
          <w:p w14:paraId="3A961037">
            <w:pPr>
              <w:spacing w:before="144" w:line="360" w:lineRule="auto"/>
              <w:ind w:firstLine="29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9" w:type="pct"/>
            <w:noWrap w:val="0"/>
            <w:vAlign w:val="top"/>
          </w:tcPr>
          <w:p w14:paraId="00F5107A">
            <w:pPr>
              <w:spacing w:line="360" w:lineRule="auto"/>
              <w:rPr>
                <w:rFonts w:hint="eastAsia" w:ascii="宋体" w:hAnsi="宋体" w:eastAsia="宋体" w:cs="宋体"/>
                <w:color w:val="auto"/>
                <w:sz w:val="21"/>
                <w:szCs w:val="21"/>
                <w:highlight w:val="none"/>
              </w:rPr>
            </w:pPr>
          </w:p>
        </w:tc>
        <w:tc>
          <w:tcPr>
            <w:tcW w:w="378" w:type="pct"/>
            <w:noWrap w:val="0"/>
            <w:vAlign w:val="top"/>
          </w:tcPr>
          <w:p w14:paraId="3AF68ABD">
            <w:pPr>
              <w:spacing w:line="360" w:lineRule="auto"/>
              <w:rPr>
                <w:rFonts w:hint="eastAsia" w:ascii="宋体" w:hAnsi="宋体" w:eastAsia="宋体" w:cs="宋体"/>
                <w:color w:val="auto"/>
                <w:sz w:val="21"/>
                <w:szCs w:val="21"/>
                <w:highlight w:val="none"/>
              </w:rPr>
            </w:pPr>
          </w:p>
        </w:tc>
      </w:tr>
      <w:tr w14:paraId="62158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26" w:type="pct"/>
            <w:noWrap w:val="0"/>
            <w:vAlign w:val="center"/>
          </w:tcPr>
          <w:p w14:paraId="04E1F33C">
            <w:pPr>
              <w:spacing w:before="65"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sz w:val="21"/>
                <w:szCs w:val="21"/>
                <w:highlight w:val="none"/>
              </w:rPr>
              <w:t>10</w:t>
            </w:r>
          </w:p>
        </w:tc>
        <w:tc>
          <w:tcPr>
            <w:tcW w:w="345" w:type="pct"/>
            <w:vMerge w:val="continue"/>
            <w:tcBorders>
              <w:top w:val="nil"/>
              <w:bottom w:val="nil"/>
            </w:tcBorders>
            <w:noWrap w:val="0"/>
            <w:vAlign w:val="top"/>
          </w:tcPr>
          <w:p w14:paraId="418DD660">
            <w:pPr>
              <w:spacing w:line="360" w:lineRule="auto"/>
              <w:rPr>
                <w:rFonts w:hint="eastAsia" w:ascii="宋体" w:hAnsi="宋体" w:eastAsia="宋体" w:cs="宋体"/>
                <w:color w:val="auto"/>
                <w:sz w:val="21"/>
                <w:szCs w:val="21"/>
                <w:highlight w:val="none"/>
              </w:rPr>
            </w:pPr>
          </w:p>
        </w:tc>
        <w:tc>
          <w:tcPr>
            <w:tcW w:w="3282" w:type="pct"/>
            <w:gridSpan w:val="2"/>
            <w:noWrap w:val="0"/>
            <w:vAlign w:val="center"/>
          </w:tcPr>
          <w:p w14:paraId="41A66534">
            <w:pPr>
              <w:spacing w:before="31" w:line="360" w:lineRule="auto"/>
              <w:ind w:left="212" w:leftChars="101" w:firstLine="6"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电梯每次保养完成后是否对机房门上锁和关窗</w:t>
            </w:r>
          </w:p>
        </w:tc>
        <w:tc>
          <w:tcPr>
            <w:tcW w:w="337" w:type="pct"/>
            <w:noWrap w:val="0"/>
            <w:vAlign w:val="center"/>
          </w:tcPr>
          <w:p w14:paraId="40560D01">
            <w:pPr>
              <w:spacing w:before="65" w:line="360" w:lineRule="auto"/>
              <w:ind w:firstLine="29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9" w:type="pct"/>
            <w:noWrap w:val="0"/>
            <w:vAlign w:val="top"/>
          </w:tcPr>
          <w:p w14:paraId="46A119AD">
            <w:pPr>
              <w:spacing w:line="360" w:lineRule="auto"/>
              <w:rPr>
                <w:rFonts w:hint="eastAsia" w:ascii="宋体" w:hAnsi="宋体" w:eastAsia="宋体" w:cs="宋体"/>
                <w:color w:val="auto"/>
                <w:sz w:val="21"/>
                <w:szCs w:val="21"/>
                <w:highlight w:val="none"/>
              </w:rPr>
            </w:pPr>
          </w:p>
        </w:tc>
        <w:tc>
          <w:tcPr>
            <w:tcW w:w="378" w:type="pct"/>
            <w:noWrap w:val="0"/>
            <w:vAlign w:val="top"/>
          </w:tcPr>
          <w:p w14:paraId="349EDBD5">
            <w:pPr>
              <w:spacing w:line="360" w:lineRule="auto"/>
              <w:rPr>
                <w:rFonts w:hint="eastAsia" w:ascii="宋体" w:hAnsi="宋体" w:eastAsia="宋体" w:cs="宋体"/>
                <w:color w:val="auto"/>
                <w:sz w:val="21"/>
                <w:szCs w:val="21"/>
                <w:highlight w:val="none"/>
              </w:rPr>
            </w:pPr>
          </w:p>
        </w:tc>
      </w:tr>
      <w:tr w14:paraId="4415E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26" w:type="pct"/>
            <w:noWrap w:val="0"/>
            <w:vAlign w:val="center"/>
          </w:tcPr>
          <w:p w14:paraId="489D1E76">
            <w:pPr>
              <w:spacing w:before="65"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sz w:val="21"/>
                <w:szCs w:val="21"/>
                <w:highlight w:val="none"/>
              </w:rPr>
              <w:t>11</w:t>
            </w:r>
          </w:p>
        </w:tc>
        <w:tc>
          <w:tcPr>
            <w:tcW w:w="345" w:type="pct"/>
            <w:vMerge w:val="continue"/>
            <w:tcBorders>
              <w:top w:val="nil"/>
              <w:bottom w:val="nil"/>
            </w:tcBorders>
            <w:noWrap w:val="0"/>
            <w:vAlign w:val="top"/>
          </w:tcPr>
          <w:p w14:paraId="65CE69FE">
            <w:pPr>
              <w:spacing w:line="360" w:lineRule="auto"/>
              <w:rPr>
                <w:rFonts w:hint="eastAsia" w:ascii="宋体" w:hAnsi="宋体" w:eastAsia="宋体" w:cs="宋体"/>
                <w:color w:val="auto"/>
                <w:sz w:val="21"/>
                <w:szCs w:val="21"/>
                <w:highlight w:val="none"/>
              </w:rPr>
            </w:pPr>
          </w:p>
        </w:tc>
        <w:tc>
          <w:tcPr>
            <w:tcW w:w="3282" w:type="pct"/>
            <w:gridSpan w:val="2"/>
            <w:noWrap w:val="0"/>
            <w:vAlign w:val="center"/>
          </w:tcPr>
          <w:p w14:paraId="05BEE124">
            <w:pPr>
              <w:spacing w:before="31" w:line="360" w:lineRule="auto"/>
              <w:ind w:left="212" w:leftChars="101" w:firstLine="6"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电梯每次保养或维修</w:t>
            </w:r>
            <w:r>
              <w:rPr>
                <w:rFonts w:hint="eastAsia" w:ascii="宋体" w:hAnsi="宋体" w:eastAsia="宋体" w:cs="宋体"/>
                <w:color w:val="auto"/>
                <w:spacing w:val="-2"/>
                <w:sz w:val="21"/>
                <w:szCs w:val="21"/>
                <w:highlight w:val="none"/>
                <w:lang w:val="en-US" w:eastAsia="zh-CN"/>
              </w:rPr>
              <w:t>时</w:t>
            </w:r>
            <w:r>
              <w:rPr>
                <w:rFonts w:hint="eastAsia" w:ascii="宋体" w:hAnsi="宋体" w:eastAsia="宋体" w:cs="宋体"/>
                <w:color w:val="auto"/>
                <w:spacing w:val="-1"/>
                <w:sz w:val="21"/>
                <w:szCs w:val="21"/>
                <w:highlight w:val="none"/>
                <w:lang w:val="en-US" w:eastAsia="zh-CN"/>
              </w:rPr>
              <w:t>技术</w:t>
            </w:r>
            <w:r>
              <w:rPr>
                <w:rFonts w:hint="eastAsia" w:ascii="宋体" w:hAnsi="宋体" w:eastAsia="宋体" w:cs="宋体"/>
                <w:color w:val="auto"/>
                <w:spacing w:val="-2"/>
                <w:sz w:val="21"/>
                <w:szCs w:val="21"/>
                <w:highlight w:val="none"/>
              </w:rPr>
              <w:t>人员是否在岗位抽烟行为</w:t>
            </w:r>
          </w:p>
        </w:tc>
        <w:tc>
          <w:tcPr>
            <w:tcW w:w="337" w:type="pct"/>
            <w:noWrap w:val="0"/>
            <w:vAlign w:val="center"/>
          </w:tcPr>
          <w:p w14:paraId="143C36DD">
            <w:pPr>
              <w:spacing w:before="64" w:line="360" w:lineRule="auto"/>
              <w:ind w:firstLine="295"/>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329" w:type="pct"/>
            <w:noWrap w:val="0"/>
            <w:vAlign w:val="top"/>
          </w:tcPr>
          <w:p w14:paraId="4471FE4D">
            <w:pPr>
              <w:spacing w:line="360" w:lineRule="auto"/>
              <w:rPr>
                <w:rFonts w:hint="eastAsia" w:ascii="宋体" w:hAnsi="宋体" w:eastAsia="宋体" w:cs="宋体"/>
                <w:color w:val="auto"/>
                <w:sz w:val="21"/>
                <w:szCs w:val="21"/>
                <w:highlight w:val="none"/>
              </w:rPr>
            </w:pPr>
          </w:p>
        </w:tc>
        <w:tc>
          <w:tcPr>
            <w:tcW w:w="378" w:type="pct"/>
            <w:noWrap w:val="0"/>
            <w:vAlign w:val="top"/>
          </w:tcPr>
          <w:p w14:paraId="3438EE03">
            <w:pPr>
              <w:spacing w:line="360" w:lineRule="auto"/>
              <w:rPr>
                <w:rFonts w:hint="eastAsia" w:ascii="宋体" w:hAnsi="宋体" w:eastAsia="宋体" w:cs="宋体"/>
                <w:color w:val="auto"/>
                <w:sz w:val="21"/>
                <w:szCs w:val="21"/>
                <w:highlight w:val="none"/>
              </w:rPr>
            </w:pPr>
          </w:p>
        </w:tc>
      </w:tr>
      <w:tr w14:paraId="78AB1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26" w:type="pct"/>
            <w:noWrap w:val="0"/>
            <w:vAlign w:val="center"/>
          </w:tcPr>
          <w:p w14:paraId="2A0B6E9C">
            <w:pPr>
              <w:spacing w:before="65"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sz w:val="21"/>
                <w:szCs w:val="21"/>
                <w:highlight w:val="none"/>
              </w:rPr>
              <w:t>12</w:t>
            </w:r>
          </w:p>
        </w:tc>
        <w:tc>
          <w:tcPr>
            <w:tcW w:w="345" w:type="pct"/>
            <w:vMerge w:val="continue"/>
            <w:tcBorders>
              <w:top w:val="nil"/>
              <w:bottom w:val="nil"/>
            </w:tcBorders>
            <w:noWrap w:val="0"/>
            <w:vAlign w:val="top"/>
          </w:tcPr>
          <w:p w14:paraId="3A42CE6D">
            <w:pPr>
              <w:spacing w:line="360" w:lineRule="auto"/>
              <w:rPr>
                <w:rFonts w:hint="eastAsia" w:ascii="宋体" w:hAnsi="宋体" w:eastAsia="宋体" w:cs="宋体"/>
                <w:color w:val="auto"/>
                <w:sz w:val="21"/>
                <w:szCs w:val="21"/>
                <w:highlight w:val="none"/>
              </w:rPr>
            </w:pPr>
          </w:p>
        </w:tc>
        <w:tc>
          <w:tcPr>
            <w:tcW w:w="3282" w:type="pct"/>
            <w:gridSpan w:val="2"/>
            <w:noWrap w:val="0"/>
            <w:vAlign w:val="center"/>
          </w:tcPr>
          <w:p w14:paraId="188D2BB6">
            <w:pPr>
              <w:spacing w:before="32" w:line="360" w:lineRule="auto"/>
              <w:ind w:left="212" w:leftChars="101" w:right="113" w:firstLine="6"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电梯故障发生困人事件时</w:t>
            </w:r>
            <w:r>
              <w:rPr>
                <w:rFonts w:hint="eastAsia" w:ascii="宋体" w:hAnsi="宋体" w:eastAsia="宋体" w:cs="宋体"/>
                <w:color w:val="auto"/>
                <w:spacing w:val="-1"/>
                <w:sz w:val="21"/>
                <w:szCs w:val="21"/>
                <w:highlight w:val="none"/>
                <w:lang w:val="en-US" w:eastAsia="zh-CN"/>
              </w:rPr>
              <w:t>技术</w:t>
            </w:r>
            <w:r>
              <w:rPr>
                <w:rFonts w:hint="eastAsia" w:ascii="宋体" w:hAnsi="宋体" w:eastAsia="宋体" w:cs="宋体"/>
                <w:color w:val="auto"/>
                <w:spacing w:val="-2"/>
                <w:sz w:val="21"/>
                <w:szCs w:val="21"/>
                <w:highlight w:val="none"/>
              </w:rPr>
              <w:t>人员</w:t>
            </w:r>
            <w:r>
              <w:rPr>
                <w:rFonts w:hint="eastAsia" w:ascii="宋体" w:hAnsi="宋体" w:eastAsia="宋体" w:cs="宋体"/>
                <w:color w:val="auto"/>
                <w:spacing w:val="-2"/>
                <w:sz w:val="21"/>
                <w:szCs w:val="21"/>
                <w:highlight w:val="none"/>
                <w:lang w:val="en-US" w:eastAsia="zh-CN"/>
              </w:rPr>
              <w:t>30</w:t>
            </w:r>
            <w:r>
              <w:rPr>
                <w:rFonts w:hint="eastAsia" w:ascii="宋体" w:hAnsi="宋体" w:eastAsia="宋体" w:cs="宋体"/>
                <w:color w:val="auto"/>
                <w:spacing w:val="-2"/>
                <w:sz w:val="21"/>
                <w:szCs w:val="21"/>
                <w:highlight w:val="none"/>
              </w:rPr>
              <w:t>分钟内到达现场进行</w:t>
            </w:r>
            <w:r>
              <w:rPr>
                <w:rFonts w:hint="eastAsia" w:ascii="宋体" w:hAnsi="宋体" w:eastAsia="宋体" w:cs="宋体"/>
                <w:color w:val="auto"/>
                <w:spacing w:val="-6"/>
                <w:sz w:val="21"/>
                <w:szCs w:val="21"/>
                <w:highlight w:val="none"/>
              </w:rPr>
              <w:t>救助</w:t>
            </w:r>
          </w:p>
        </w:tc>
        <w:tc>
          <w:tcPr>
            <w:tcW w:w="337" w:type="pct"/>
            <w:noWrap w:val="0"/>
            <w:vAlign w:val="center"/>
          </w:tcPr>
          <w:p w14:paraId="15F52596">
            <w:pPr>
              <w:spacing w:before="66" w:line="360" w:lineRule="auto"/>
              <w:ind w:firstLine="29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29" w:type="pct"/>
            <w:noWrap w:val="0"/>
            <w:vAlign w:val="top"/>
          </w:tcPr>
          <w:p w14:paraId="1187BB70">
            <w:pPr>
              <w:spacing w:line="360" w:lineRule="auto"/>
              <w:rPr>
                <w:rFonts w:hint="eastAsia" w:ascii="宋体" w:hAnsi="宋体" w:eastAsia="宋体" w:cs="宋体"/>
                <w:color w:val="auto"/>
                <w:sz w:val="21"/>
                <w:szCs w:val="21"/>
                <w:highlight w:val="none"/>
              </w:rPr>
            </w:pPr>
          </w:p>
        </w:tc>
        <w:tc>
          <w:tcPr>
            <w:tcW w:w="378" w:type="pct"/>
            <w:noWrap w:val="0"/>
            <w:vAlign w:val="top"/>
          </w:tcPr>
          <w:p w14:paraId="359E06F5">
            <w:pPr>
              <w:spacing w:line="360" w:lineRule="auto"/>
              <w:rPr>
                <w:rFonts w:hint="eastAsia" w:ascii="宋体" w:hAnsi="宋体" w:eastAsia="宋体" w:cs="宋体"/>
                <w:color w:val="auto"/>
                <w:sz w:val="21"/>
                <w:szCs w:val="21"/>
                <w:highlight w:val="none"/>
              </w:rPr>
            </w:pPr>
          </w:p>
        </w:tc>
      </w:tr>
      <w:tr w14:paraId="58D6C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26" w:type="pct"/>
            <w:noWrap w:val="0"/>
            <w:vAlign w:val="center"/>
          </w:tcPr>
          <w:p w14:paraId="51F779F4">
            <w:pPr>
              <w:spacing w:before="65"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sz w:val="21"/>
                <w:szCs w:val="21"/>
                <w:highlight w:val="none"/>
              </w:rPr>
              <w:t>13</w:t>
            </w:r>
          </w:p>
        </w:tc>
        <w:tc>
          <w:tcPr>
            <w:tcW w:w="345" w:type="pct"/>
            <w:vMerge w:val="continue"/>
            <w:tcBorders>
              <w:top w:val="nil"/>
              <w:bottom w:val="nil"/>
            </w:tcBorders>
            <w:noWrap w:val="0"/>
            <w:vAlign w:val="top"/>
          </w:tcPr>
          <w:p w14:paraId="50E04CA4">
            <w:pPr>
              <w:spacing w:line="360" w:lineRule="auto"/>
              <w:rPr>
                <w:rFonts w:hint="eastAsia" w:ascii="宋体" w:hAnsi="宋体" w:eastAsia="宋体" w:cs="宋体"/>
                <w:color w:val="auto"/>
                <w:sz w:val="21"/>
                <w:szCs w:val="21"/>
                <w:highlight w:val="none"/>
              </w:rPr>
            </w:pPr>
          </w:p>
        </w:tc>
        <w:tc>
          <w:tcPr>
            <w:tcW w:w="3282" w:type="pct"/>
            <w:gridSpan w:val="2"/>
            <w:noWrap w:val="0"/>
            <w:vAlign w:val="center"/>
          </w:tcPr>
          <w:p w14:paraId="5870E225">
            <w:pPr>
              <w:spacing w:before="32" w:line="360" w:lineRule="auto"/>
              <w:ind w:left="212" w:leftChars="101" w:right="113" w:firstLine="6"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发生一般电梯故障的</w:t>
            </w:r>
            <w:r>
              <w:rPr>
                <w:rFonts w:hint="eastAsia" w:ascii="宋体" w:hAnsi="宋体" w:eastAsia="宋体" w:cs="宋体"/>
                <w:color w:val="auto"/>
                <w:spacing w:val="-1"/>
                <w:sz w:val="21"/>
                <w:szCs w:val="21"/>
                <w:highlight w:val="none"/>
                <w:lang w:val="en-US" w:eastAsia="zh-CN"/>
              </w:rPr>
              <w:t>技术</w:t>
            </w:r>
            <w:r>
              <w:rPr>
                <w:rFonts w:hint="eastAsia" w:ascii="宋体" w:hAnsi="宋体" w:eastAsia="宋体" w:cs="宋体"/>
                <w:color w:val="auto"/>
                <w:spacing w:val="-1"/>
                <w:sz w:val="21"/>
                <w:szCs w:val="21"/>
                <w:highlight w:val="none"/>
              </w:rPr>
              <w:t>人员</w:t>
            </w:r>
            <w:r>
              <w:rPr>
                <w:rFonts w:hint="eastAsia" w:ascii="宋体" w:hAnsi="宋体" w:eastAsia="宋体" w:cs="宋体"/>
                <w:color w:val="auto"/>
                <w:spacing w:val="-1"/>
                <w:sz w:val="21"/>
                <w:szCs w:val="21"/>
                <w:highlight w:val="none"/>
                <w:lang w:val="en-US" w:eastAsia="zh-CN"/>
              </w:rPr>
              <w:t>60</w:t>
            </w:r>
            <w:r>
              <w:rPr>
                <w:rFonts w:hint="eastAsia" w:ascii="宋体" w:hAnsi="宋体" w:eastAsia="宋体" w:cs="宋体"/>
                <w:color w:val="auto"/>
                <w:spacing w:val="-1"/>
                <w:sz w:val="21"/>
                <w:szCs w:val="21"/>
                <w:highlight w:val="none"/>
              </w:rPr>
              <w:t>分钟内到达现场进行检测</w:t>
            </w:r>
            <w:r>
              <w:rPr>
                <w:rFonts w:hint="eastAsia" w:ascii="宋体" w:hAnsi="宋体" w:eastAsia="宋体" w:cs="宋体"/>
                <w:color w:val="auto"/>
                <w:spacing w:val="-7"/>
                <w:sz w:val="21"/>
                <w:szCs w:val="21"/>
                <w:highlight w:val="none"/>
              </w:rPr>
              <w:t>维修</w:t>
            </w:r>
          </w:p>
        </w:tc>
        <w:tc>
          <w:tcPr>
            <w:tcW w:w="337" w:type="pct"/>
            <w:noWrap w:val="0"/>
            <w:vAlign w:val="center"/>
          </w:tcPr>
          <w:p w14:paraId="66D2ADF4">
            <w:pPr>
              <w:spacing w:before="66" w:line="360" w:lineRule="auto"/>
              <w:ind w:firstLine="297"/>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329" w:type="pct"/>
            <w:noWrap w:val="0"/>
            <w:vAlign w:val="top"/>
          </w:tcPr>
          <w:p w14:paraId="6E3BCC69">
            <w:pPr>
              <w:spacing w:line="360" w:lineRule="auto"/>
              <w:rPr>
                <w:rFonts w:hint="eastAsia" w:ascii="宋体" w:hAnsi="宋体" w:eastAsia="宋体" w:cs="宋体"/>
                <w:color w:val="auto"/>
                <w:sz w:val="21"/>
                <w:szCs w:val="21"/>
                <w:highlight w:val="none"/>
              </w:rPr>
            </w:pPr>
          </w:p>
        </w:tc>
        <w:tc>
          <w:tcPr>
            <w:tcW w:w="378" w:type="pct"/>
            <w:noWrap w:val="0"/>
            <w:vAlign w:val="top"/>
          </w:tcPr>
          <w:p w14:paraId="0518A537">
            <w:pPr>
              <w:spacing w:line="360" w:lineRule="auto"/>
              <w:rPr>
                <w:rFonts w:hint="eastAsia" w:ascii="宋体" w:hAnsi="宋体" w:eastAsia="宋体" w:cs="宋体"/>
                <w:color w:val="auto"/>
                <w:sz w:val="21"/>
                <w:szCs w:val="21"/>
                <w:highlight w:val="none"/>
              </w:rPr>
            </w:pPr>
          </w:p>
        </w:tc>
      </w:tr>
      <w:tr w14:paraId="53E2A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26" w:type="pct"/>
            <w:noWrap w:val="0"/>
            <w:vAlign w:val="center"/>
          </w:tcPr>
          <w:p w14:paraId="55432A3F">
            <w:pPr>
              <w:spacing w:before="65"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sz w:val="21"/>
                <w:szCs w:val="21"/>
                <w:highlight w:val="none"/>
              </w:rPr>
              <w:t>14</w:t>
            </w:r>
          </w:p>
        </w:tc>
        <w:tc>
          <w:tcPr>
            <w:tcW w:w="345" w:type="pct"/>
            <w:vMerge w:val="continue"/>
            <w:tcBorders>
              <w:top w:val="nil"/>
              <w:bottom w:val="nil"/>
            </w:tcBorders>
            <w:noWrap w:val="0"/>
            <w:vAlign w:val="top"/>
          </w:tcPr>
          <w:p w14:paraId="164207BC">
            <w:pPr>
              <w:spacing w:line="360" w:lineRule="auto"/>
              <w:rPr>
                <w:rFonts w:hint="eastAsia" w:ascii="宋体" w:hAnsi="宋体" w:eastAsia="宋体" w:cs="宋体"/>
                <w:color w:val="auto"/>
                <w:sz w:val="21"/>
                <w:szCs w:val="21"/>
                <w:highlight w:val="none"/>
              </w:rPr>
            </w:pPr>
          </w:p>
        </w:tc>
        <w:tc>
          <w:tcPr>
            <w:tcW w:w="3282" w:type="pct"/>
            <w:gridSpan w:val="2"/>
            <w:noWrap w:val="0"/>
            <w:vAlign w:val="center"/>
          </w:tcPr>
          <w:p w14:paraId="1110504F">
            <w:pPr>
              <w:spacing w:before="35" w:line="360" w:lineRule="auto"/>
              <w:ind w:left="212" w:leftChars="101" w:firstLine="6"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电梯每次发生故障后是否在24小时内完成修复</w:t>
            </w:r>
          </w:p>
        </w:tc>
        <w:tc>
          <w:tcPr>
            <w:tcW w:w="337" w:type="pct"/>
            <w:noWrap w:val="0"/>
            <w:vAlign w:val="center"/>
          </w:tcPr>
          <w:p w14:paraId="7AA46885">
            <w:pPr>
              <w:spacing w:before="69" w:line="360" w:lineRule="auto"/>
              <w:ind w:firstLine="292"/>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329" w:type="pct"/>
            <w:noWrap w:val="0"/>
            <w:vAlign w:val="top"/>
          </w:tcPr>
          <w:p w14:paraId="2CD000C3">
            <w:pPr>
              <w:spacing w:line="360" w:lineRule="auto"/>
              <w:rPr>
                <w:rFonts w:hint="eastAsia" w:ascii="宋体" w:hAnsi="宋体" w:eastAsia="宋体" w:cs="宋体"/>
                <w:color w:val="auto"/>
                <w:sz w:val="21"/>
                <w:szCs w:val="21"/>
                <w:highlight w:val="none"/>
              </w:rPr>
            </w:pPr>
          </w:p>
        </w:tc>
        <w:tc>
          <w:tcPr>
            <w:tcW w:w="378" w:type="pct"/>
            <w:noWrap w:val="0"/>
            <w:vAlign w:val="top"/>
          </w:tcPr>
          <w:p w14:paraId="5B6847F7">
            <w:pPr>
              <w:spacing w:line="360" w:lineRule="auto"/>
              <w:rPr>
                <w:rFonts w:hint="eastAsia" w:ascii="宋体" w:hAnsi="宋体" w:eastAsia="宋体" w:cs="宋体"/>
                <w:color w:val="auto"/>
                <w:sz w:val="21"/>
                <w:szCs w:val="21"/>
                <w:highlight w:val="none"/>
              </w:rPr>
            </w:pPr>
          </w:p>
        </w:tc>
      </w:tr>
      <w:tr w14:paraId="7A719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26" w:type="pct"/>
            <w:noWrap w:val="0"/>
            <w:vAlign w:val="center"/>
          </w:tcPr>
          <w:p w14:paraId="42D1A3A7">
            <w:pPr>
              <w:spacing w:before="65"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sz w:val="21"/>
                <w:szCs w:val="21"/>
                <w:highlight w:val="none"/>
              </w:rPr>
              <w:t>15</w:t>
            </w:r>
          </w:p>
        </w:tc>
        <w:tc>
          <w:tcPr>
            <w:tcW w:w="345" w:type="pct"/>
            <w:vMerge w:val="continue"/>
            <w:tcBorders>
              <w:top w:val="nil"/>
              <w:bottom w:val="nil"/>
            </w:tcBorders>
            <w:noWrap w:val="0"/>
            <w:vAlign w:val="top"/>
          </w:tcPr>
          <w:p w14:paraId="7455BE4C">
            <w:pPr>
              <w:spacing w:line="360" w:lineRule="auto"/>
              <w:rPr>
                <w:rFonts w:hint="eastAsia" w:ascii="宋体" w:hAnsi="宋体" w:eastAsia="宋体" w:cs="宋体"/>
                <w:color w:val="auto"/>
                <w:sz w:val="21"/>
                <w:szCs w:val="21"/>
                <w:highlight w:val="none"/>
              </w:rPr>
            </w:pPr>
          </w:p>
        </w:tc>
        <w:tc>
          <w:tcPr>
            <w:tcW w:w="3282" w:type="pct"/>
            <w:gridSpan w:val="2"/>
            <w:noWrap w:val="0"/>
            <w:vAlign w:val="center"/>
          </w:tcPr>
          <w:p w14:paraId="24E9F977">
            <w:pPr>
              <w:spacing w:before="34" w:line="360" w:lineRule="auto"/>
              <w:ind w:left="212" w:leftChars="101" w:firstLine="6"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电梯轿厢、对重导靴油盅油量不得低于2/3位置</w:t>
            </w:r>
          </w:p>
        </w:tc>
        <w:tc>
          <w:tcPr>
            <w:tcW w:w="337" w:type="pct"/>
            <w:noWrap w:val="0"/>
            <w:vAlign w:val="center"/>
          </w:tcPr>
          <w:p w14:paraId="21FD8551">
            <w:pPr>
              <w:spacing w:before="69" w:line="360" w:lineRule="auto"/>
              <w:ind w:firstLine="297"/>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329" w:type="pct"/>
            <w:noWrap w:val="0"/>
            <w:vAlign w:val="top"/>
          </w:tcPr>
          <w:p w14:paraId="6BF5A00C">
            <w:pPr>
              <w:spacing w:line="360" w:lineRule="auto"/>
              <w:rPr>
                <w:rFonts w:hint="eastAsia" w:ascii="宋体" w:hAnsi="宋体" w:eastAsia="宋体" w:cs="宋体"/>
                <w:color w:val="auto"/>
                <w:sz w:val="21"/>
                <w:szCs w:val="21"/>
                <w:highlight w:val="none"/>
              </w:rPr>
            </w:pPr>
          </w:p>
        </w:tc>
        <w:tc>
          <w:tcPr>
            <w:tcW w:w="378" w:type="pct"/>
            <w:noWrap w:val="0"/>
            <w:vAlign w:val="top"/>
          </w:tcPr>
          <w:p w14:paraId="4AB0F9C6">
            <w:pPr>
              <w:spacing w:line="360" w:lineRule="auto"/>
              <w:rPr>
                <w:rFonts w:hint="eastAsia" w:ascii="宋体" w:hAnsi="宋体" w:eastAsia="宋体" w:cs="宋体"/>
                <w:color w:val="auto"/>
                <w:sz w:val="21"/>
                <w:szCs w:val="21"/>
                <w:highlight w:val="none"/>
              </w:rPr>
            </w:pPr>
          </w:p>
        </w:tc>
      </w:tr>
      <w:tr w14:paraId="6E7D0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26" w:type="pct"/>
            <w:noWrap w:val="0"/>
            <w:vAlign w:val="center"/>
          </w:tcPr>
          <w:p w14:paraId="60F763AE">
            <w:pPr>
              <w:spacing w:before="65"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sz w:val="21"/>
                <w:szCs w:val="21"/>
                <w:highlight w:val="none"/>
              </w:rPr>
              <w:t>16</w:t>
            </w:r>
          </w:p>
        </w:tc>
        <w:tc>
          <w:tcPr>
            <w:tcW w:w="345" w:type="pct"/>
            <w:vMerge w:val="continue"/>
            <w:tcBorders>
              <w:top w:val="nil"/>
            </w:tcBorders>
            <w:noWrap w:val="0"/>
            <w:vAlign w:val="top"/>
          </w:tcPr>
          <w:p w14:paraId="131179F1">
            <w:pPr>
              <w:spacing w:line="360" w:lineRule="auto"/>
              <w:rPr>
                <w:rFonts w:hint="eastAsia" w:ascii="宋体" w:hAnsi="宋体" w:eastAsia="宋体" w:cs="宋体"/>
                <w:color w:val="auto"/>
                <w:sz w:val="21"/>
                <w:szCs w:val="21"/>
                <w:highlight w:val="none"/>
              </w:rPr>
            </w:pPr>
          </w:p>
        </w:tc>
        <w:tc>
          <w:tcPr>
            <w:tcW w:w="3282" w:type="pct"/>
            <w:gridSpan w:val="2"/>
            <w:noWrap w:val="0"/>
            <w:vAlign w:val="center"/>
          </w:tcPr>
          <w:p w14:paraId="6AD1B8CC">
            <w:pPr>
              <w:spacing w:before="34" w:line="360" w:lineRule="auto"/>
              <w:ind w:left="212" w:leftChars="101" w:firstLine="6"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按照维保合同维修属于免费配件的，更换是否及时</w:t>
            </w:r>
          </w:p>
        </w:tc>
        <w:tc>
          <w:tcPr>
            <w:tcW w:w="337" w:type="pct"/>
            <w:noWrap w:val="0"/>
            <w:vAlign w:val="center"/>
          </w:tcPr>
          <w:p w14:paraId="31DE1FF2">
            <w:pPr>
              <w:spacing w:before="68" w:line="360" w:lineRule="auto"/>
              <w:ind w:firstLine="295"/>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329" w:type="pct"/>
            <w:noWrap w:val="0"/>
            <w:vAlign w:val="top"/>
          </w:tcPr>
          <w:p w14:paraId="2ACD8DE6">
            <w:pPr>
              <w:spacing w:line="360" w:lineRule="auto"/>
              <w:rPr>
                <w:rFonts w:hint="eastAsia" w:ascii="宋体" w:hAnsi="宋体" w:eastAsia="宋体" w:cs="宋体"/>
                <w:color w:val="auto"/>
                <w:sz w:val="21"/>
                <w:szCs w:val="21"/>
                <w:highlight w:val="none"/>
              </w:rPr>
            </w:pPr>
          </w:p>
        </w:tc>
        <w:tc>
          <w:tcPr>
            <w:tcW w:w="378" w:type="pct"/>
            <w:noWrap w:val="0"/>
            <w:vAlign w:val="top"/>
          </w:tcPr>
          <w:p w14:paraId="690D27C8">
            <w:pPr>
              <w:spacing w:line="360" w:lineRule="auto"/>
              <w:rPr>
                <w:rFonts w:hint="eastAsia" w:ascii="宋体" w:hAnsi="宋体" w:eastAsia="宋体" w:cs="宋体"/>
                <w:color w:val="auto"/>
                <w:sz w:val="21"/>
                <w:szCs w:val="21"/>
                <w:highlight w:val="none"/>
              </w:rPr>
            </w:pPr>
          </w:p>
        </w:tc>
      </w:tr>
      <w:tr w14:paraId="3BB5B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26" w:type="pct"/>
            <w:noWrap w:val="0"/>
            <w:vAlign w:val="center"/>
          </w:tcPr>
          <w:p w14:paraId="375F9BC4">
            <w:pPr>
              <w:spacing w:before="65"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sz w:val="21"/>
                <w:szCs w:val="21"/>
                <w:highlight w:val="none"/>
              </w:rPr>
              <w:t>17</w:t>
            </w:r>
          </w:p>
        </w:tc>
        <w:tc>
          <w:tcPr>
            <w:tcW w:w="345" w:type="pct"/>
            <w:vMerge w:val="restart"/>
            <w:tcBorders>
              <w:bottom w:val="nil"/>
            </w:tcBorders>
            <w:noWrap w:val="0"/>
            <w:vAlign w:val="center"/>
          </w:tcPr>
          <w:p w14:paraId="3BD73496">
            <w:pPr>
              <w:spacing w:before="68" w:line="360" w:lineRule="auto"/>
              <w:ind w:firstLine="2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w:t>
            </w:r>
          </w:p>
          <w:p w14:paraId="5139A4B2">
            <w:pPr>
              <w:spacing w:line="360" w:lineRule="auto"/>
              <w:ind w:firstLine="24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w:t>
            </w:r>
          </w:p>
          <w:p w14:paraId="2AEC44BF">
            <w:pPr>
              <w:spacing w:before="38" w:line="360" w:lineRule="auto"/>
              <w:ind w:firstLine="24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w:t>
            </w:r>
          </w:p>
          <w:p w14:paraId="75C50BF8">
            <w:pPr>
              <w:spacing w:before="64" w:line="360" w:lineRule="auto"/>
              <w:ind w:firstLine="24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量</w:t>
            </w:r>
          </w:p>
          <w:p w14:paraId="12FC7914">
            <w:pPr>
              <w:spacing w:before="64" w:line="360" w:lineRule="auto"/>
              <w:ind w:firstLine="243"/>
              <w:rPr>
                <w:rFonts w:hint="eastAsia" w:ascii="宋体" w:hAnsi="宋体" w:eastAsia="宋体" w:cs="宋体"/>
                <w:color w:val="auto"/>
                <w:sz w:val="21"/>
                <w:szCs w:val="21"/>
                <w:highlight w:val="none"/>
              </w:rPr>
            </w:pPr>
          </w:p>
          <w:p w14:paraId="43B969EA">
            <w:pPr>
              <w:spacing w:before="64" w:line="360" w:lineRule="auto"/>
              <w:ind w:firstLine="136"/>
              <w:rPr>
                <w:rFonts w:hint="eastAsia" w:ascii="宋体" w:hAnsi="宋体" w:eastAsia="宋体" w:cs="宋体"/>
                <w:color w:val="auto"/>
                <w:sz w:val="21"/>
                <w:szCs w:val="21"/>
                <w:highlight w:val="none"/>
              </w:rPr>
            </w:pPr>
            <w:r>
              <w:rPr>
                <w:rFonts w:hint="eastAsia" w:ascii="宋体" w:hAnsi="宋体" w:cs="宋体"/>
                <w:color w:val="auto"/>
                <w:spacing w:val="-3"/>
                <w:sz w:val="21"/>
                <w:szCs w:val="21"/>
                <w:highlight w:val="none"/>
                <w:lang w:val="en-US" w:eastAsia="zh-CN"/>
              </w:rPr>
              <w:t>44</w:t>
            </w:r>
            <w:r>
              <w:rPr>
                <w:rFonts w:hint="eastAsia" w:ascii="宋体" w:hAnsi="宋体" w:eastAsia="宋体" w:cs="宋体"/>
                <w:color w:val="auto"/>
                <w:spacing w:val="-3"/>
                <w:sz w:val="21"/>
                <w:szCs w:val="21"/>
                <w:highlight w:val="none"/>
              </w:rPr>
              <w:t>分</w:t>
            </w:r>
          </w:p>
        </w:tc>
        <w:tc>
          <w:tcPr>
            <w:tcW w:w="3282" w:type="pct"/>
            <w:gridSpan w:val="2"/>
            <w:noWrap w:val="0"/>
            <w:vAlign w:val="center"/>
          </w:tcPr>
          <w:p w14:paraId="55477D04">
            <w:pPr>
              <w:spacing w:before="33" w:line="360" w:lineRule="auto"/>
              <w:ind w:left="212" w:leftChars="101" w:firstLine="6"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电梯轿厢内通风正常，风扇运行无异响声</w:t>
            </w:r>
          </w:p>
        </w:tc>
        <w:tc>
          <w:tcPr>
            <w:tcW w:w="337" w:type="pct"/>
            <w:noWrap w:val="0"/>
            <w:vAlign w:val="center"/>
          </w:tcPr>
          <w:p w14:paraId="58F007AF">
            <w:pPr>
              <w:spacing w:before="68" w:line="360" w:lineRule="auto"/>
              <w:ind w:firstLine="29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29" w:type="pct"/>
            <w:noWrap w:val="0"/>
            <w:vAlign w:val="top"/>
          </w:tcPr>
          <w:p w14:paraId="0E17390F">
            <w:pPr>
              <w:spacing w:line="360" w:lineRule="auto"/>
              <w:rPr>
                <w:rFonts w:hint="eastAsia" w:ascii="宋体" w:hAnsi="宋体" w:eastAsia="宋体" w:cs="宋体"/>
                <w:color w:val="auto"/>
                <w:sz w:val="21"/>
                <w:szCs w:val="21"/>
                <w:highlight w:val="none"/>
              </w:rPr>
            </w:pPr>
          </w:p>
        </w:tc>
        <w:tc>
          <w:tcPr>
            <w:tcW w:w="378" w:type="pct"/>
            <w:noWrap w:val="0"/>
            <w:vAlign w:val="top"/>
          </w:tcPr>
          <w:p w14:paraId="2D065CE5">
            <w:pPr>
              <w:spacing w:line="360" w:lineRule="auto"/>
              <w:rPr>
                <w:rFonts w:hint="eastAsia" w:ascii="宋体" w:hAnsi="宋体" w:eastAsia="宋体" w:cs="宋体"/>
                <w:color w:val="auto"/>
                <w:sz w:val="21"/>
                <w:szCs w:val="21"/>
                <w:highlight w:val="none"/>
              </w:rPr>
            </w:pPr>
          </w:p>
        </w:tc>
      </w:tr>
      <w:tr w14:paraId="7533F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26" w:type="pct"/>
            <w:noWrap w:val="0"/>
            <w:vAlign w:val="center"/>
          </w:tcPr>
          <w:p w14:paraId="293EF5EC">
            <w:pPr>
              <w:spacing w:before="65"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sz w:val="21"/>
                <w:szCs w:val="21"/>
                <w:highlight w:val="none"/>
              </w:rPr>
              <w:t>18</w:t>
            </w:r>
          </w:p>
        </w:tc>
        <w:tc>
          <w:tcPr>
            <w:tcW w:w="345" w:type="pct"/>
            <w:vMerge w:val="continue"/>
            <w:tcBorders>
              <w:top w:val="nil"/>
              <w:bottom w:val="nil"/>
            </w:tcBorders>
            <w:noWrap w:val="0"/>
            <w:vAlign w:val="top"/>
          </w:tcPr>
          <w:p w14:paraId="0A96D629">
            <w:pPr>
              <w:spacing w:line="360" w:lineRule="auto"/>
              <w:rPr>
                <w:rFonts w:hint="eastAsia" w:ascii="宋体" w:hAnsi="宋体" w:eastAsia="宋体" w:cs="宋体"/>
                <w:color w:val="auto"/>
                <w:sz w:val="21"/>
                <w:szCs w:val="21"/>
                <w:highlight w:val="none"/>
              </w:rPr>
            </w:pPr>
          </w:p>
        </w:tc>
        <w:tc>
          <w:tcPr>
            <w:tcW w:w="3282" w:type="pct"/>
            <w:gridSpan w:val="2"/>
            <w:noWrap w:val="0"/>
            <w:vAlign w:val="center"/>
          </w:tcPr>
          <w:p w14:paraId="3A06D3CB">
            <w:pPr>
              <w:spacing w:before="35" w:line="360" w:lineRule="auto"/>
              <w:ind w:left="212" w:leftChars="101" w:right="104" w:firstLine="6"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维保工作到位无电梯出现频繁故障（同一部电梯一个月内2</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2"/>
                <w:sz w:val="21"/>
                <w:szCs w:val="21"/>
                <w:highlight w:val="none"/>
              </w:rPr>
              <w:t>次以上相同故障）</w:t>
            </w:r>
          </w:p>
        </w:tc>
        <w:tc>
          <w:tcPr>
            <w:tcW w:w="337" w:type="pct"/>
            <w:noWrap w:val="0"/>
            <w:vAlign w:val="center"/>
          </w:tcPr>
          <w:p w14:paraId="37DB164B">
            <w:pPr>
              <w:spacing w:before="202" w:line="360" w:lineRule="auto"/>
              <w:ind w:firstLine="297"/>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29" w:type="pct"/>
            <w:noWrap w:val="0"/>
            <w:vAlign w:val="top"/>
          </w:tcPr>
          <w:p w14:paraId="08E7382A">
            <w:pPr>
              <w:spacing w:line="360" w:lineRule="auto"/>
              <w:rPr>
                <w:rFonts w:hint="eastAsia" w:ascii="宋体" w:hAnsi="宋体" w:eastAsia="宋体" w:cs="宋体"/>
                <w:color w:val="auto"/>
                <w:sz w:val="21"/>
                <w:szCs w:val="21"/>
                <w:highlight w:val="none"/>
              </w:rPr>
            </w:pPr>
          </w:p>
        </w:tc>
        <w:tc>
          <w:tcPr>
            <w:tcW w:w="378" w:type="pct"/>
            <w:noWrap w:val="0"/>
            <w:vAlign w:val="top"/>
          </w:tcPr>
          <w:p w14:paraId="6A991086">
            <w:pPr>
              <w:spacing w:line="360" w:lineRule="auto"/>
              <w:rPr>
                <w:rFonts w:hint="eastAsia" w:ascii="宋体" w:hAnsi="宋体" w:eastAsia="宋体" w:cs="宋体"/>
                <w:color w:val="auto"/>
                <w:sz w:val="21"/>
                <w:szCs w:val="21"/>
                <w:highlight w:val="none"/>
              </w:rPr>
            </w:pPr>
          </w:p>
        </w:tc>
      </w:tr>
      <w:tr w14:paraId="011AD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26" w:type="pct"/>
            <w:noWrap w:val="0"/>
            <w:vAlign w:val="center"/>
          </w:tcPr>
          <w:p w14:paraId="6CBBE2B7">
            <w:pPr>
              <w:spacing w:before="65"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sz w:val="21"/>
                <w:szCs w:val="21"/>
                <w:highlight w:val="none"/>
              </w:rPr>
              <w:t>19</w:t>
            </w:r>
          </w:p>
        </w:tc>
        <w:tc>
          <w:tcPr>
            <w:tcW w:w="345" w:type="pct"/>
            <w:vMerge w:val="continue"/>
            <w:tcBorders>
              <w:top w:val="nil"/>
              <w:bottom w:val="nil"/>
            </w:tcBorders>
            <w:noWrap w:val="0"/>
            <w:vAlign w:val="top"/>
          </w:tcPr>
          <w:p w14:paraId="023C87AC">
            <w:pPr>
              <w:spacing w:line="360" w:lineRule="auto"/>
              <w:rPr>
                <w:rFonts w:hint="eastAsia" w:ascii="宋体" w:hAnsi="宋体" w:eastAsia="宋体" w:cs="宋体"/>
                <w:color w:val="auto"/>
                <w:sz w:val="21"/>
                <w:szCs w:val="21"/>
                <w:highlight w:val="none"/>
              </w:rPr>
            </w:pPr>
          </w:p>
        </w:tc>
        <w:tc>
          <w:tcPr>
            <w:tcW w:w="3282" w:type="pct"/>
            <w:gridSpan w:val="2"/>
            <w:noWrap w:val="0"/>
            <w:vAlign w:val="center"/>
          </w:tcPr>
          <w:p w14:paraId="5E2E01EA">
            <w:pPr>
              <w:spacing w:before="35" w:line="360" w:lineRule="auto"/>
              <w:ind w:left="212" w:leftChars="101" w:firstLine="6"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电梯机房卫生干净、整洁无灰尘</w:t>
            </w:r>
          </w:p>
        </w:tc>
        <w:tc>
          <w:tcPr>
            <w:tcW w:w="337" w:type="pct"/>
            <w:noWrap w:val="0"/>
            <w:vAlign w:val="center"/>
          </w:tcPr>
          <w:p w14:paraId="04C8BAAE">
            <w:pPr>
              <w:spacing w:before="68" w:line="360" w:lineRule="auto"/>
              <w:ind w:firstLine="297"/>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329" w:type="pct"/>
            <w:noWrap w:val="0"/>
            <w:vAlign w:val="top"/>
          </w:tcPr>
          <w:p w14:paraId="1217C99E">
            <w:pPr>
              <w:spacing w:line="360" w:lineRule="auto"/>
              <w:rPr>
                <w:rFonts w:hint="eastAsia" w:ascii="宋体" w:hAnsi="宋体" w:eastAsia="宋体" w:cs="宋体"/>
                <w:color w:val="auto"/>
                <w:sz w:val="21"/>
                <w:szCs w:val="21"/>
                <w:highlight w:val="none"/>
              </w:rPr>
            </w:pPr>
          </w:p>
        </w:tc>
        <w:tc>
          <w:tcPr>
            <w:tcW w:w="378" w:type="pct"/>
            <w:noWrap w:val="0"/>
            <w:vAlign w:val="top"/>
          </w:tcPr>
          <w:p w14:paraId="0A29DFB0">
            <w:pPr>
              <w:spacing w:line="360" w:lineRule="auto"/>
              <w:rPr>
                <w:rFonts w:hint="eastAsia" w:ascii="宋体" w:hAnsi="宋体" w:eastAsia="宋体" w:cs="宋体"/>
                <w:color w:val="auto"/>
                <w:sz w:val="21"/>
                <w:szCs w:val="21"/>
                <w:highlight w:val="none"/>
              </w:rPr>
            </w:pPr>
          </w:p>
        </w:tc>
      </w:tr>
      <w:tr w14:paraId="0F9E7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26" w:type="pct"/>
            <w:noWrap w:val="0"/>
            <w:vAlign w:val="center"/>
          </w:tcPr>
          <w:p w14:paraId="22BC5BD8">
            <w:pPr>
              <w:spacing w:before="65"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20</w:t>
            </w:r>
          </w:p>
        </w:tc>
        <w:tc>
          <w:tcPr>
            <w:tcW w:w="345" w:type="pct"/>
            <w:vMerge w:val="continue"/>
            <w:tcBorders>
              <w:top w:val="nil"/>
              <w:bottom w:val="nil"/>
            </w:tcBorders>
            <w:noWrap w:val="0"/>
            <w:vAlign w:val="top"/>
          </w:tcPr>
          <w:p w14:paraId="2ACFB97D">
            <w:pPr>
              <w:spacing w:line="360" w:lineRule="auto"/>
              <w:rPr>
                <w:rFonts w:hint="eastAsia" w:ascii="宋体" w:hAnsi="宋体" w:eastAsia="宋体" w:cs="宋体"/>
                <w:color w:val="auto"/>
                <w:sz w:val="21"/>
                <w:szCs w:val="21"/>
                <w:highlight w:val="none"/>
              </w:rPr>
            </w:pPr>
          </w:p>
        </w:tc>
        <w:tc>
          <w:tcPr>
            <w:tcW w:w="3282" w:type="pct"/>
            <w:gridSpan w:val="2"/>
            <w:noWrap w:val="0"/>
            <w:vAlign w:val="center"/>
          </w:tcPr>
          <w:p w14:paraId="67078BB1">
            <w:pPr>
              <w:spacing w:before="36" w:line="360" w:lineRule="auto"/>
              <w:ind w:left="212" w:leftChars="101" w:firstLine="6"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电梯坑井无杂物、曳引机、控制柜干净整洁</w:t>
            </w:r>
          </w:p>
        </w:tc>
        <w:tc>
          <w:tcPr>
            <w:tcW w:w="337" w:type="pct"/>
            <w:noWrap w:val="0"/>
            <w:vAlign w:val="center"/>
          </w:tcPr>
          <w:p w14:paraId="11AAC18C">
            <w:pPr>
              <w:spacing w:before="69" w:line="360" w:lineRule="auto"/>
              <w:ind w:firstLine="29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9" w:type="pct"/>
            <w:noWrap w:val="0"/>
            <w:vAlign w:val="top"/>
          </w:tcPr>
          <w:p w14:paraId="643E745A">
            <w:pPr>
              <w:spacing w:line="360" w:lineRule="auto"/>
              <w:rPr>
                <w:rFonts w:hint="eastAsia" w:ascii="宋体" w:hAnsi="宋体" w:eastAsia="宋体" w:cs="宋体"/>
                <w:color w:val="auto"/>
                <w:sz w:val="21"/>
                <w:szCs w:val="21"/>
                <w:highlight w:val="none"/>
              </w:rPr>
            </w:pPr>
          </w:p>
        </w:tc>
        <w:tc>
          <w:tcPr>
            <w:tcW w:w="378" w:type="pct"/>
            <w:noWrap w:val="0"/>
            <w:vAlign w:val="top"/>
          </w:tcPr>
          <w:p w14:paraId="5F3A627E">
            <w:pPr>
              <w:spacing w:line="360" w:lineRule="auto"/>
              <w:rPr>
                <w:rFonts w:hint="eastAsia" w:ascii="宋体" w:hAnsi="宋体" w:eastAsia="宋体" w:cs="宋体"/>
                <w:color w:val="auto"/>
                <w:sz w:val="21"/>
                <w:szCs w:val="21"/>
                <w:highlight w:val="none"/>
              </w:rPr>
            </w:pPr>
          </w:p>
        </w:tc>
      </w:tr>
      <w:tr w14:paraId="0D95B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26" w:type="pct"/>
            <w:noWrap w:val="0"/>
            <w:vAlign w:val="center"/>
          </w:tcPr>
          <w:p w14:paraId="18E7D83F">
            <w:pPr>
              <w:spacing w:before="65"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21</w:t>
            </w:r>
          </w:p>
        </w:tc>
        <w:tc>
          <w:tcPr>
            <w:tcW w:w="345" w:type="pct"/>
            <w:vMerge w:val="continue"/>
            <w:tcBorders>
              <w:top w:val="nil"/>
              <w:bottom w:val="nil"/>
            </w:tcBorders>
            <w:noWrap w:val="0"/>
            <w:vAlign w:val="top"/>
          </w:tcPr>
          <w:p w14:paraId="3E94FAAE">
            <w:pPr>
              <w:spacing w:line="360" w:lineRule="auto"/>
              <w:rPr>
                <w:rFonts w:hint="eastAsia" w:ascii="宋体" w:hAnsi="宋体" w:eastAsia="宋体" w:cs="宋体"/>
                <w:color w:val="auto"/>
                <w:sz w:val="21"/>
                <w:szCs w:val="21"/>
                <w:highlight w:val="none"/>
              </w:rPr>
            </w:pPr>
          </w:p>
        </w:tc>
        <w:tc>
          <w:tcPr>
            <w:tcW w:w="3282" w:type="pct"/>
            <w:gridSpan w:val="2"/>
            <w:noWrap w:val="0"/>
            <w:vAlign w:val="center"/>
          </w:tcPr>
          <w:p w14:paraId="1C898A44">
            <w:pPr>
              <w:spacing w:before="34" w:line="360" w:lineRule="auto"/>
              <w:ind w:left="212" w:leftChars="101" w:firstLine="6"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电梯钢丝绳平层标识、松闸扳手、手轮摆放规范</w:t>
            </w:r>
            <w:r>
              <w:rPr>
                <w:rFonts w:hint="eastAsia" w:ascii="宋体" w:hAnsi="宋体" w:cs="宋体"/>
                <w:color w:val="auto"/>
                <w:spacing w:val="-2"/>
                <w:sz w:val="21"/>
                <w:szCs w:val="21"/>
                <w:highlight w:val="none"/>
                <w:lang w:eastAsia="zh-CN"/>
              </w:rPr>
              <w:t>标识</w:t>
            </w:r>
            <w:r>
              <w:rPr>
                <w:rFonts w:hint="eastAsia" w:ascii="宋体" w:hAnsi="宋体" w:eastAsia="宋体" w:cs="宋体"/>
                <w:color w:val="auto"/>
                <w:spacing w:val="-2"/>
                <w:sz w:val="21"/>
                <w:szCs w:val="21"/>
                <w:highlight w:val="none"/>
              </w:rPr>
              <w:t>清楚</w:t>
            </w:r>
          </w:p>
        </w:tc>
        <w:tc>
          <w:tcPr>
            <w:tcW w:w="337" w:type="pct"/>
            <w:noWrap w:val="0"/>
            <w:vAlign w:val="center"/>
          </w:tcPr>
          <w:p w14:paraId="51E07A73">
            <w:pPr>
              <w:spacing w:before="67" w:line="360" w:lineRule="auto"/>
              <w:ind w:firstLine="29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9" w:type="pct"/>
            <w:noWrap w:val="0"/>
            <w:vAlign w:val="top"/>
          </w:tcPr>
          <w:p w14:paraId="2FA815A1">
            <w:pPr>
              <w:spacing w:line="360" w:lineRule="auto"/>
              <w:rPr>
                <w:rFonts w:hint="eastAsia" w:ascii="宋体" w:hAnsi="宋体" w:eastAsia="宋体" w:cs="宋体"/>
                <w:color w:val="auto"/>
                <w:sz w:val="21"/>
                <w:szCs w:val="21"/>
                <w:highlight w:val="none"/>
              </w:rPr>
            </w:pPr>
          </w:p>
        </w:tc>
        <w:tc>
          <w:tcPr>
            <w:tcW w:w="378" w:type="pct"/>
            <w:noWrap w:val="0"/>
            <w:vAlign w:val="top"/>
          </w:tcPr>
          <w:p w14:paraId="5267EABF">
            <w:pPr>
              <w:spacing w:line="360" w:lineRule="auto"/>
              <w:rPr>
                <w:rFonts w:hint="eastAsia" w:ascii="宋体" w:hAnsi="宋体" w:eastAsia="宋体" w:cs="宋体"/>
                <w:color w:val="auto"/>
                <w:sz w:val="21"/>
                <w:szCs w:val="21"/>
                <w:highlight w:val="none"/>
              </w:rPr>
            </w:pPr>
          </w:p>
        </w:tc>
      </w:tr>
      <w:tr w14:paraId="14777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26" w:type="pct"/>
            <w:noWrap w:val="0"/>
            <w:vAlign w:val="center"/>
          </w:tcPr>
          <w:p w14:paraId="50E58C92">
            <w:pPr>
              <w:spacing w:before="65"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22</w:t>
            </w:r>
          </w:p>
        </w:tc>
        <w:tc>
          <w:tcPr>
            <w:tcW w:w="345" w:type="pct"/>
            <w:vMerge w:val="continue"/>
            <w:tcBorders>
              <w:top w:val="nil"/>
              <w:bottom w:val="nil"/>
            </w:tcBorders>
            <w:noWrap w:val="0"/>
            <w:vAlign w:val="top"/>
          </w:tcPr>
          <w:p w14:paraId="54C03924">
            <w:pPr>
              <w:spacing w:line="360" w:lineRule="auto"/>
              <w:rPr>
                <w:rFonts w:hint="eastAsia" w:ascii="宋体" w:hAnsi="宋体" w:eastAsia="宋体" w:cs="宋体"/>
                <w:color w:val="auto"/>
                <w:sz w:val="21"/>
                <w:szCs w:val="21"/>
                <w:highlight w:val="none"/>
              </w:rPr>
            </w:pPr>
          </w:p>
        </w:tc>
        <w:tc>
          <w:tcPr>
            <w:tcW w:w="3282" w:type="pct"/>
            <w:gridSpan w:val="2"/>
            <w:noWrap w:val="0"/>
            <w:vAlign w:val="center"/>
          </w:tcPr>
          <w:p w14:paraId="40750969">
            <w:pPr>
              <w:spacing w:before="35" w:line="360" w:lineRule="auto"/>
              <w:ind w:left="212" w:leftChars="101" w:firstLine="6"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电梯轿厢应急警铃、三方通话完好</w:t>
            </w:r>
          </w:p>
        </w:tc>
        <w:tc>
          <w:tcPr>
            <w:tcW w:w="337" w:type="pct"/>
            <w:noWrap w:val="0"/>
            <w:vAlign w:val="center"/>
          </w:tcPr>
          <w:p w14:paraId="31C3E438">
            <w:pPr>
              <w:spacing w:before="68" w:line="360" w:lineRule="auto"/>
              <w:ind w:firstLine="29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9" w:type="pct"/>
            <w:noWrap w:val="0"/>
            <w:vAlign w:val="top"/>
          </w:tcPr>
          <w:p w14:paraId="51CF0C33">
            <w:pPr>
              <w:spacing w:line="360" w:lineRule="auto"/>
              <w:rPr>
                <w:rFonts w:hint="eastAsia" w:ascii="宋体" w:hAnsi="宋体" w:eastAsia="宋体" w:cs="宋体"/>
                <w:color w:val="auto"/>
                <w:sz w:val="21"/>
                <w:szCs w:val="21"/>
                <w:highlight w:val="none"/>
              </w:rPr>
            </w:pPr>
          </w:p>
        </w:tc>
        <w:tc>
          <w:tcPr>
            <w:tcW w:w="378" w:type="pct"/>
            <w:noWrap w:val="0"/>
            <w:vAlign w:val="top"/>
          </w:tcPr>
          <w:p w14:paraId="1292A76C">
            <w:pPr>
              <w:spacing w:line="360" w:lineRule="auto"/>
              <w:rPr>
                <w:rFonts w:hint="eastAsia" w:ascii="宋体" w:hAnsi="宋体" w:eastAsia="宋体" w:cs="宋体"/>
                <w:color w:val="auto"/>
                <w:sz w:val="21"/>
                <w:szCs w:val="21"/>
                <w:highlight w:val="none"/>
              </w:rPr>
            </w:pPr>
          </w:p>
        </w:tc>
      </w:tr>
      <w:tr w14:paraId="6EC72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26" w:type="pct"/>
            <w:noWrap w:val="0"/>
            <w:vAlign w:val="center"/>
          </w:tcPr>
          <w:p w14:paraId="512B9566">
            <w:pPr>
              <w:spacing w:before="65"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23</w:t>
            </w:r>
          </w:p>
        </w:tc>
        <w:tc>
          <w:tcPr>
            <w:tcW w:w="345" w:type="pct"/>
            <w:vMerge w:val="continue"/>
            <w:tcBorders>
              <w:top w:val="nil"/>
              <w:bottom w:val="nil"/>
            </w:tcBorders>
            <w:noWrap w:val="0"/>
            <w:vAlign w:val="top"/>
          </w:tcPr>
          <w:p w14:paraId="77231F0B">
            <w:pPr>
              <w:spacing w:line="360" w:lineRule="auto"/>
              <w:rPr>
                <w:rFonts w:hint="eastAsia" w:ascii="宋体" w:hAnsi="宋体" w:eastAsia="宋体" w:cs="宋体"/>
                <w:color w:val="auto"/>
                <w:sz w:val="21"/>
                <w:szCs w:val="21"/>
                <w:highlight w:val="none"/>
              </w:rPr>
            </w:pPr>
          </w:p>
        </w:tc>
        <w:tc>
          <w:tcPr>
            <w:tcW w:w="3282" w:type="pct"/>
            <w:gridSpan w:val="2"/>
            <w:noWrap w:val="0"/>
            <w:vAlign w:val="center"/>
          </w:tcPr>
          <w:p w14:paraId="3572B84F">
            <w:pPr>
              <w:spacing w:before="36" w:line="360" w:lineRule="auto"/>
              <w:ind w:left="212" w:leftChars="101" w:firstLine="6"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电梯井道照明、轿厢应急照明完好</w:t>
            </w:r>
          </w:p>
        </w:tc>
        <w:tc>
          <w:tcPr>
            <w:tcW w:w="337" w:type="pct"/>
            <w:noWrap w:val="0"/>
            <w:vAlign w:val="center"/>
          </w:tcPr>
          <w:p w14:paraId="24C1BB89">
            <w:pPr>
              <w:spacing w:before="70" w:line="360" w:lineRule="auto"/>
              <w:ind w:firstLine="29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9" w:type="pct"/>
            <w:noWrap w:val="0"/>
            <w:vAlign w:val="top"/>
          </w:tcPr>
          <w:p w14:paraId="3D5EF907">
            <w:pPr>
              <w:spacing w:line="360" w:lineRule="auto"/>
              <w:rPr>
                <w:rFonts w:hint="eastAsia" w:ascii="宋体" w:hAnsi="宋体" w:eastAsia="宋体" w:cs="宋体"/>
                <w:color w:val="auto"/>
                <w:sz w:val="21"/>
                <w:szCs w:val="21"/>
                <w:highlight w:val="none"/>
              </w:rPr>
            </w:pPr>
          </w:p>
        </w:tc>
        <w:tc>
          <w:tcPr>
            <w:tcW w:w="378" w:type="pct"/>
            <w:noWrap w:val="0"/>
            <w:vAlign w:val="top"/>
          </w:tcPr>
          <w:p w14:paraId="2351BE29">
            <w:pPr>
              <w:spacing w:line="360" w:lineRule="auto"/>
              <w:rPr>
                <w:rFonts w:hint="eastAsia" w:ascii="宋体" w:hAnsi="宋体" w:eastAsia="宋体" w:cs="宋体"/>
                <w:color w:val="auto"/>
                <w:sz w:val="21"/>
                <w:szCs w:val="21"/>
                <w:highlight w:val="none"/>
              </w:rPr>
            </w:pPr>
          </w:p>
        </w:tc>
      </w:tr>
      <w:tr w14:paraId="5D9AC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26" w:type="pct"/>
            <w:noWrap w:val="0"/>
            <w:vAlign w:val="center"/>
          </w:tcPr>
          <w:p w14:paraId="2F18F125">
            <w:pPr>
              <w:spacing w:before="65"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24</w:t>
            </w:r>
          </w:p>
        </w:tc>
        <w:tc>
          <w:tcPr>
            <w:tcW w:w="345" w:type="pct"/>
            <w:vMerge w:val="continue"/>
            <w:tcBorders>
              <w:top w:val="nil"/>
              <w:bottom w:val="nil"/>
            </w:tcBorders>
            <w:noWrap w:val="0"/>
            <w:vAlign w:val="top"/>
          </w:tcPr>
          <w:p w14:paraId="6EE078D6">
            <w:pPr>
              <w:spacing w:line="360" w:lineRule="auto"/>
              <w:rPr>
                <w:rFonts w:hint="eastAsia" w:ascii="宋体" w:hAnsi="宋体" w:eastAsia="宋体" w:cs="宋体"/>
                <w:color w:val="auto"/>
                <w:sz w:val="21"/>
                <w:szCs w:val="21"/>
                <w:highlight w:val="none"/>
              </w:rPr>
            </w:pPr>
          </w:p>
        </w:tc>
        <w:tc>
          <w:tcPr>
            <w:tcW w:w="3282" w:type="pct"/>
            <w:gridSpan w:val="2"/>
            <w:noWrap w:val="0"/>
            <w:vAlign w:val="center"/>
          </w:tcPr>
          <w:p w14:paraId="31490565">
            <w:pPr>
              <w:spacing w:before="36" w:line="360" w:lineRule="auto"/>
              <w:ind w:left="212" w:leftChars="101" w:firstLine="6"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电梯每层层门</w:t>
            </w:r>
            <w:bookmarkStart w:id="1" w:name="OLE_LINK2"/>
            <w:r>
              <w:rPr>
                <w:rFonts w:hint="eastAsia" w:ascii="宋体" w:hAnsi="宋体" w:eastAsia="宋体" w:cs="宋体"/>
                <w:color w:val="auto"/>
                <w:spacing w:val="-3"/>
                <w:sz w:val="21"/>
                <w:szCs w:val="21"/>
                <w:highlight w:val="none"/>
              </w:rPr>
              <w:t>地坎</w:t>
            </w:r>
            <w:bookmarkEnd w:id="1"/>
            <w:r>
              <w:rPr>
                <w:rFonts w:hint="eastAsia" w:ascii="宋体" w:hAnsi="宋体" w:eastAsia="宋体" w:cs="宋体"/>
                <w:color w:val="auto"/>
                <w:spacing w:val="-3"/>
                <w:sz w:val="21"/>
                <w:szCs w:val="21"/>
                <w:highlight w:val="none"/>
              </w:rPr>
              <w:t>清洁、无杂物</w:t>
            </w:r>
          </w:p>
        </w:tc>
        <w:tc>
          <w:tcPr>
            <w:tcW w:w="337" w:type="pct"/>
            <w:noWrap w:val="0"/>
            <w:vAlign w:val="center"/>
          </w:tcPr>
          <w:p w14:paraId="2D05A3C2">
            <w:pPr>
              <w:spacing w:before="69" w:line="360" w:lineRule="auto"/>
              <w:ind w:firstLine="29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29" w:type="pct"/>
            <w:noWrap w:val="0"/>
            <w:vAlign w:val="top"/>
          </w:tcPr>
          <w:p w14:paraId="6555B62D">
            <w:pPr>
              <w:spacing w:line="360" w:lineRule="auto"/>
              <w:rPr>
                <w:rFonts w:hint="eastAsia" w:ascii="宋体" w:hAnsi="宋体" w:eastAsia="宋体" w:cs="宋体"/>
                <w:color w:val="auto"/>
                <w:sz w:val="21"/>
                <w:szCs w:val="21"/>
                <w:highlight w:val="none"/>
              </w:rPr>
            </w:pPr>
          </w:p>
        </w:tc>
        <w:tc>
          <w:tcPr>
            <w:tcW w:w="378" w:type="pct"/>
            <w:noWrap w:val="0"/>
            <w:vAlign w:val="top"/>
          </w:tcPr>
          <w:p w14:paraId="2ECF924A">
            <w:pPr>
              <w:spacing w:line="360" w:lineRule="auto"/>
              <w:rPr>
                <w:rFonts w:hint="eastAsia" w:ascii="宋体" w:hAnsi="宋体" w:eastAsia="宋体" w:cs="宋体"/>
                <w:color w:val="auto"/>
                <w:sz w:val="21"/>
                <w:szCs w:val="21"/>
                <w:highlight w:val="none"/>
              </w:rPr>
            </w:pPr>
          </w:p>
        </w:tc>
      </w:tr>
      <w:tr w14:paraId="47456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26" w:type="pct"/>
            <w:noWrap w:val="0"/>
            <w:vAlign w:val="center"/>
          </w:tcPr>
          <w:p w14:paraId="76758655">
            <w:pPr>
              <w:spacing w:before="65"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25</w:t>
            </w:r>
          </w:p>
        </w:tc>
        <w:tc>
          <w:tcPr>
            <w:tcW w:w="345" w:type="pct"/>
            <w:vMerge w:val="continue"/>
            <w:tcBorders>
              <w:top w:val="nil"/>
              <w:bottom w:val="nil"/>
            </w:tcBorders>
            <w:noWrap w:val="0"/>
            <w:vAlign w:val="top"/>
          </w:tcPr>
          <w:p w14:paraId="4F8B4B37">
            <w:pPr>
              <w:spacing w:line="360" w:lineRule="auto"/>
              <w:rPr>
                <w:rFonts w:hint="eastAsia" w:ascii="宋体" w:hAnsi="宋体" w:eastAsia="宋体" w:cs="宋体"/>
                <w:color w:val="auto"/>
                <w:sz w:val="21"/>
                <w:szCs w:val="21"/>
                <w:highlight w:val="none"/>
              </w:rPr>
            </w:pPr>
          </w:p>
        </w:tc>
        <w:tc>
          <w:tcPr>
            <w:tcW w:w="3282" w:type="pct"/>
            <w:gridSpan w:val="2"/>
            <w:noWrap w:val="0"/>
            <w:vAlign w:val="center"/>
          </w:tcPr>
          <w:p w14:paraId="5D15458E">
            <w:pPr>
              <w:spacing w:before="33" w:line="360" w:lineRule="auto"/>
              <w:ind w:left="212" w:leftChars="101" w:firstLine="6"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电梯每次保养除尘是否使用吸尘器、风筒等辅助设备</w:t>
            </w:r>
          </w:p>
        </w:tc>
        <w:tc>
          <w:tcPr>
            <w:tcW w:w="337" w:type="pct"/>
            <w:noWrap w:val="0"/>
            <w:vAlign w:val="center"/>
          </w:tcPr>
          <w:p w14:paraId="0AF71A00">
            <w:pPr>
              <w:spacing w:before="67" w:line="360" w:lineRule="auto"/>
              <w:ind w:firstLine="294"/>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329" w:type="pct"/>
            <w:noWrap w:val="0"/>
            <w:vAlign w:val="top"/>
          </w:tcPr>
          <w:p w14:paraId="406CA064">
            <w:pPr>
              <w:spacing w:line="360" w:lineRule="auto"/>
              <w:rPr>
                <w:rFonts w:hint="eastAsia" w:ascii="宋体" w:hAnsi="宋体" w:eastAsia="宋体" w:cs="宋体"/>
                <w:color w:val="auto"/>
                <w:sz w:val="21"/>
                <w:szCs w:val="21"/>
                <w:highlight w:val="none"/>
              </w:rPr>
            </w:pPr>
          </w:p>
        </w:tc>
        <w:tc>
          <w:tcPr>
            <w:tcW w:w="378" w:type="pct"/>
            <w:noWrap w:val="0"/>
            <w:vAlign w:val="top"/>
          </w:tcPr>
          <w:p w14:paraId="4E87584A">
            <w:pPr>
              <w:spacing w:line="360" w:lineRule="auto"/>
              <w:rPr>
                <w:rFonts w:hint="eastAsia" w:ascii="宋体" w:hAnsi="宋体" w:eastAsia="宋体" w:cs="宋体"/>
                <w:color w:val="auto"/>
                <w:sz w:val="21"/>
                <w:szCs w:val="21"/>
                <w:highlight w:val="none"/>
              </w:rPr>
            </w:pPr>
          </w:p>
        </w:tc>
      </w:tr>
      <w:tr w14:paraId="34BE3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26" w:type="pct"/>
            <w:noWrap w:val="0"/>
            <w:vAlign w:val="center"/>
          </w:tcPr>
          <w:p w14:paraId="03BE7CC5">
            <w:pPr>
              <w:spacing w:before="65"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26</w:t>
            </w:r>
          </w:p>
        </w:tc>
        <w:tc>
          <w:tcPr>
            <w:tcW w:w="345" w:type="pct"/>
            <w:vMerge w:val="continue"/>
            <w:tcBorders>
              <w:top w:val="nil"/>
            </w:tcBorders>
            <w:noWrap w:val="0"/>
            <w:vAlign w:val="top"/>
          </w:tcPr>
          <w:p w14:paraId="273EA750">
            <w:pPr>
              <w:spacing w:line="360" w:lineRule="auto"/>
              <w:rPr>
                <w:rFonts w:hint="eastAsia" w:ascii="宋体" w:hAnsi="宋体" w:eastAsia="宋体" w:cs="宋体"/>
                <w:color w:val="auto"/>
                <w:sz w:val="21"/>
                <w:szCs w:val="21"/>
                <w:highlight w:val="none"/>
              </w:rPr>
            </w:pPr>
          </w:p>
        </w:tc>
        <w:tc>
          <w:tcPr>
            <w:tcW w:w="3282" w:type="pct"/>
            <w:gridSpan w:val="2"/>
            <w:noWrap w:val="0"/>
            <w:vAlign w:val="center"/>
          </w:tcPr>
          <w:p w14:paraId="01CE1EA0">
            <w:pPr>
              <w:spacing w:before="33" w:line="360" w:lineRule="auto"/>
              <w:ind w:left="212" w:leftChars="101" w:firstLine="6" w:firstLineChars="0"/>
              <w:jc w:val="both"/>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每月30日前维保是否提交电梯月度运行报告</w:t>
            </w:r>
          </w:p>
        </w:tc>
        <w:tc>
          <w:tcPr>
            <w:tcW w:w="337" w:type="pct"/>
            <w:noWrap w:val="0"/>
            <w:vAlign w:val="center"/>
          </w:tcPr>
          <w:p w14:paraId="31BB314C">
            <w:pPr>
              <w:spacing w:before="69" w:line="360" w:lineRule="auto"/>
              <w:ind w:firstLine="29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29" w:type="pct"/>
            <w:noWrap w:val="0"/>
            <w:vAlign w:val="top"/>
          </w:tcPr>
          <w:p w14:paraId="332012AE">
            <w:pPr>
              <w:spacing w:line="360" w:lineRule="auto"/>
              <w:rPr>
                <w:rFonts w:hint="eastAsia" w:ascii="宋体" w:hAnsi="宋体" w:eastAsia="宋体" w:cs="宋体"/>
                <w:color w:val="auto"/>
                <w:sz w:val="21"/>
                <w:szCs w:val="21"/>
                <w:highlight w:val="none"/>
              </w:rPr>
            </w:pPr>
          </w:p>
        </w:tc>
        <w:tc>
          <w:tcPr>
            <w:tcW w:w="378" w:type="pct"/>
            <w:noWrap w:val="0"/>
            <w:vAlign w:val="top"/>
          </w:tcPr>
          <w:p w14:paraId="336C6839">
            <w:pPr>
              <w:spacing w:line="360" w:lineRule="auto"/>
              <w:rPr>
                <w:rFonts w:hint="eastAsia" w:ascii="宋体" w:hAnsi="宋体" w:eastAsia="宋体" w:cs="宋体"/>
                <w:color w:val="auto"/>
                <w:sz w:val="21"/>
                <w:szCs w:val="21"/>
                <w:highlight w:val="none"/>
              </w:rPr>
            </w:pPr>
          </w:p>
        </w:tc>
      </w:tr>
      <w:tr w14:paraId="3C88B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3954" w:type="pct"/>
            <w:gridSpan w:val="4"/>
            <w:noWrap w:val="0"/>
            <w:vAlign w:val="center"/>
          </w:tcPr>
          <w:p w14:paraId="533DE930">
            <w:pPr>
              <w:spacing w:before="36" w:line="360" w:lineRule="auto"/>
              <w:ind w:firstLine="3120"/>
              <w:jc w:val="both"/>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合计：</w:t>
            </w:r>
          </w:p>
        </w:tc>
        <w:tc>
          <w:tcPr>
            <w:tcW w:w="337" w:type="pct"/>
            <w:noWrap w:val="0"/>
            <w:vAlign w:val="center"/>
          </w:tcPr>
          <w:p w14:paraId="2DAB2CF6">
            <w:pPr>
              <w:spacing w:before="68" w:line="360" w:lineRule="auto"/>
              <w:ind w:firstLine="202"/>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100</w:t>
            </w:r>
          </w:p>
        </w:tc>
        <w:tc>
          <w:tcPr>
            <w:tcW w:w="329" w:type="pct"/>
            <w:noWrap w:val="0"/>
            <w:vAlign w:val="top"/>
          </w:tcPr>
          <w:p w14:paraId="0A680ED2">
            <w:pPr>
              <w:spacing w:line="360" w:lineRule="auto"/>
              <w:rPr>
                <w:rFonts w:hint="eastAsia" w:ascii="宋体" w:hAnsi="宋体" w:eastAsia="宋体" w:cs="宋体"/>
                <w:color w:val="auto"/>
                <w:sz w:val="21"/>
                <w:szCs w:val="21"/>
                <w:highlight w:val="none"/>
              </w:rPr>
            </w:pPr>
          </w:p>
        </w:tc>
        <w:tc>
          <w:tcPr>
            <w:tcW w:w="378" w:type="pct"/>
            <w:noWrap w:val="0"/>
            <w:vAlign w:val="top"/>
          </w:tcPr>
          <w:p w14:paraId="27E85842">
            <w:pPr>
              <w:spacing w:line="360" w:lineRule="auto"/>
              <w:rPr>
                <w:rFonts w:hint="eastAsia" w:ascii="宋体" w:hAnsi="宋体" w:eastAsia="宋体" w:cs="宋体"/>
                <w:color w:val="auto"/>
                <w:sz w:val="21"/>
                <w:szCs w:val="21"/>
                <w:highlight w:val="none"/>
              </w:rPr>
            </w:pPr>
          </w:p>
        </w:tc>
      </w:tr>
      <w:tr w14:paraId="15802577">
        <w:tblPrEx>
          <w:tblBorders>
            <w:top w:val="single" w:color="000000" w:sz="2" w:space="0"/>
            <w:left w:val="single" w:color="000000" w:sz="2" w:space="0"/>
            <w:bottom w:val="single" w:color="000000" w:sz="2" w:space="0"/>
            <w:right w:val="single" w:color="000000" w:sz="2" w:space="0"/>
            <w:insideH w:val="single" w:color="000000" w:sz="2" w:space="0"/>
            <w:insideV w:val="none" w:color="auto" w:sz="0" w:space="0"/>
          </w:tblBorders>
          <w:tblCellMar>
            <w:top w:w="0" w:type="dxa"/>
            <w:left w:w="0" w:type="dxa"/>
            <w:bottom w:w="0" w:type="dxa"/>
            <w:right w:w="0" w:type="dxa"/>
          </w:tblCellMar>
        </w:tblPrEx>
        <w:trPr>
          <w:trHeight w:val="1035" w:hRule="atLeast"/>
        </w:trPr>
        <w:tc>
          <w:tcPr>
            <w:tcW w:w="5000" w:type="pct"/>
            <w:gridSpan w:val="7"/>
            <w:tcBorders>
              <w:tl2br w:val="nil"/>
              <w:tr2bl w:val="nil"/>
            </w:tcBorders>
            <w:noWrap w:val="0"/>
            <w:vAlign w:val="top"/>
          </w:tcPr>
          <w:p w14:paraId="75C15DBB">
            <w:pPr>
              <w:spacing w:before="68" w:line="360" w:lineRule="auto"/>
              <w:ind w:firstLine="0"/>
              <w:rPr>
                <w:rFonts w:hint="eastAsia" w:ascii="宋体" w:hAnsi="宋体" w:eastAsia="宋体" w:cs="宋体"/>
                <w:b/>
                <w:bCs/>
                <w:color w:val="auto"/>
                <w:sz w:val="21"/>
                <w:szCs w:val="21"/>
                <w:highlight w:val="none"/>
              </w:rPr>
            </w:pPr>
            <w:r>
              <w:rPr>
                <w:rFonts w:hint="eastAsia" w:ascii="宋体" w:hAnsi="宋体" w:eastAsia="宋体" w:cs="宋体"/>
                <w:b/>
                <w:bCs/>
                <w:color w:val="auto"/>
                <w:spacing w:val="-5"/>
                <w:sz w:val="21"/>
                <w:szCs w:val="21"/>
                <w:highlight w:val="none"/>
              </w:rPr>
              <w:t>注：</w:t>
            </w:r>
          </w:p>
          <w:p w14:paraId="72292F82">
            <w:pPr>
              <w:spacing w:before="64" w:line="360" w:lineRule="auto"/>
              <w:ind w:firstLine="132"/>
              <w:rPr>
                <w:rFonts w:hint="eastAsia" w:ascii="宋体" w:hAnsi="宋体" w:eastAsia="宋体" w:cs="宋体"/>
                <w:b/>
                <w:bCs/>
                <w:color w:val="auto"/>
                <w:sz w:val="21"/>
                <w:szCs w:val="21"/>
                <w:highlight w:val="none"/>
              </w:rPr>
            </w:pPr>
            <w:r>
              <w:rPr>
                <w:rFonts w:hint="eastAsia" w:ascii="宋体" w:hAnsi="宋体" w:eastAsia="宋体" w:cs="宋体"/>
                <w:b/>
                <w:bCs/>
                <w:color w:val="auto"/>
                <w:spacing w:val="-4"/>
                <w:sz w:val="21"/>
                <w:szCs w:val="21"/>
                <w:highlight w:val="none"/>
                <w:lang w:val="en-US" w:eastAsia="zh-CN"/>
              </w:rPr>
              <w:t>1.</w:t>
            </w:r>
            <w:r>
              <w:rPr>
                <w:rFonts w:hint="eastAsia" w:ascii="宋体" w:hAnsi="宋体" w:eastAsia="宋体" w:cs="宋体"/>
                <w:b/>
                <w:bCs/>
                <w:color w:val="auto"/>
                <w:spacing w:val="-4"/>
                <w:sz w:val="21"/>
                <w:szCs w:val="21"/>
                <w:highlight w:val="none"/>
                <w:lang w:eastAsia="zh-CN"/>
              </w:rPr>
              <w:t>用户（使用人或</w:t>
            </w:r>
            <w:r>
              <w:rPr>
                <w:rFonts w:hint="eastAsia" w:ascii="宋体" w:hAnsi="宋体" w:eastAsia="宋体" w:cs="宋体"/>
                <w:b/>
                <w:bCs/>
                <w:color w:val="auto"/>
                <w:spacing w:val="-4"/>
                <w:sz w:val="21"/>
                <w:szCs w:val="21"/>
                <w:highlight w:val="none"/>
                <w:lang w:val="en-US" w:eastAsia="zh-CN"/>
              </w:rPr>
              <w:t>其他相关人员</w:t>
            </w:r>
            <w:r>
              <w:rPr>
                <w:rFonts w:hint="eastAsia" w:ascii="宋体" w:hAnsi="宋体" w:eastAsia="宋体" w:cs="宋体"/>
                <w:b/>
                <w:bCs/>
                <w:color w:val="auto"/>
                <w:spacing w:val="-4"/>
                <w:sz w:val="21"/>
                <w:szCs w:val="21"/>
                <w:highlight w:val="none"/>
                <w:lang w:eastAsia="zh-CN"/>
              </w:rPr>
              <w:t>）</w:t>
            </w:r>
            <w:r>
              <w:rPr>
                <w:rFonts w:hint="eastAsia" w:ascii="宋体" w:hAnsi="宋体" w:eastAsia="宋体" w:cs="宋体"/>
                <w:b/>
                <w:bCs/>
                <w:color w:val="auto"/>
                <w:spacing w:val="-4"/>
                <w:sz w:val="21"/>
                <w:szCs w:val="21"/>
                <w:highlight w:val="none"/>
              </w:rPr>
              <w:t>对电梯运行的满意度（有效投诉一次扣5分，2次15分，3次40分）。</w:t>
            </w:r>
          </w:p>
          <w:p w14:paraId="65E906E7">
            <w:pPr>
              <w:spacing w:before="61" w:line="360" w:lineRule="auto"/>
              <w:ind w:firstLine="119"/>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lang w:val="en-US" w:eastAsia="zh-CN"/>
              </w:rPr>
              <w:t>2.</w:t>
            </w:r>
            <w:r>
              <w:rPr>
                <w:rFonts w:hint="eastAsia" w:ascii="宋体" w:hAnsi="宋体" w:eastAsia="宋体" w:cs="宋体"/>
                <w:b/>
                <w:bCs/>
                <w:color w:val="auto"/>
                <w:spacing w:val="-1"/>
                <w:sz w:val="21"/>
                <w:szCs w:val="21"/>
                <w:highlight w:val="none"/>
                <w:lang w:eastAsia="zh-CN"/>
              </w:rPr>
              <w:t>供应商</w:t>
            </w:r>
            <w:r>
              <w:rPr>
                <w:rFonts w:hint="eastAsia" w:ascii="宋体" w:hAnsi="宋体" w:eastAsia="宋体" w:cs="宋体"/>
                <w:b/>
                <w:bCs/>
                <w:color w:val="auto"/>
                <w:spacing w:val="-1"/>
                <w:sz w:val="21"/>
                <w:szCs w:val="21"/>
                <w:highlight w:val="none"/>
              </w:rPr>
              <w:t>应认真做好电梯的维保工作，若发生</w:t>
            </w:r>
            <w:r>
              <w:rPr>
                <w:rFonts w:hint="eastAsia" w:ascii="宋体" w:hAnsi="宋体" w:eastAsia="宋体" w:cs="宋体"/>
                <w:b/>
                <w:bCs/>
                <w:color w:val="auto"/>
                <w:spacing w:val="-1"/>
                <w:sz w:val="21"/>
                <w:szCs w:val="21"/>
                <w:highlight w:val="none"/>
                <w:lang w:eastAsia="zh-CN"/>
              </w:rPr>
              <w:t>比选人</w:t>
            </w:r>
            <w:r>
              <w:rPr>
                <w:rFonts w:hint="eastAsia" w:ascii="宋体" w:hAnsi="宋体" w:eastAsia="宋体" w:cs="宋体"/>
                <w:b/>
                <w:bCs/>
                <w:color w:val="auto"/>
                <w:spacing w:val="-1"/>
                <w:sz w:val="21"/>
                <w:szCs w:val="21"/>
                <w:highlight w:val="none"/>
              </w:rPr>
              <w:t>书面向</w:t>
            </w:r>
            <w:r>
              <w:rPr>
                <w:rFonts w:hint="eastAsia" w:ascii="宋体" w:hAnsi="宋体" w:eastAsia="宋体" w:cs="宋体"/>
                <w:b/>
                <w:bCs/>
                <w:color w:val="auto"/>
                <w:spacing w:val="-1"/>
                <w:sz w:val="21"/>
                <w:szCs w:val="21"/>
                <w:highlight w:val="none"/>
                <w:lang w:eastAsia="zh-CN"/>
              </w:rPr>
              <w:t>供应商</w:t>
            </w:r>
            <w:r>
              <w:rPr>
                <w:rFonts w:hint="eastAsia" w:ascii="宋体" w:hAnsi="宋体" w:eastAsia="宋体" w:cs="宋体"/>
                <w:b/>
                <w:bCs/>
                <w:color w:val="auto"/>
                <w:spacing w:val="-1"/>
                <w:sz w:val="21"/>
                <w:szCs w:val="21"/>
                <w:highlight w:val="none"/>
              </w:rPr>
              <w:t>投诉，将扣除当</w:t>
            </w:r>
            <w:r>
              <w:rPr>
                <w:rFonts w:hint="eastAsia" w:ascii="宋体" w:hAnsi="宋体" w:eastAsia="宋体" w:cs="宋体"/>
                <w:b/>
                <w:bCs/>
                <w:color w:val="auto"/>
                <w:spacing w:val="-1"/>
                <w:sz w:val="21"/>
                <w:szCs w:val="21"/>
                <w:highlight w:val="none"/>
                <w:lang w:eastAsia="zh-CN"/>
              </w:rPr>
              <w:t>季</w:t>
            </w:r>
            <w:r>
              <w:rPr>
                <w:rFonts w:hint="eastAsia" w:ascii="宋体" w:hAnsi="宋体" w:eastAsia="宋体" w:cs="宋体"/>
                <w:b/>
                <w:bCs/>
                <w:color w:val="auto"/>
                <w:spacing w:val="-1"/>
                <w:sz w:val="21"/>
                <w:szCs w:val="21"/>
                <w:highlight w:val="none"/>
              </w:rPr>
              <w:t>全部</w:t>
            </w:r>
            <w:r>
              <w:rPr>
                <w:rFonts w:hint="eastAsia" w:ascii="宋体" w:hAnsi="宋体" w:eastAsia="宋体" w:cs="宋体"/>
                <w:b/>
                <w:bCs/>
                <w:color w:val="auto"/>
                <w:spacing w:val="-1"/>
                <w:sz w:val="21"/>
                <w:szCs w:val="21"/>
                <w:highlight w:val="none"/>
                <w:lang w:eastAsia="zh-CN"/>
              </w:rPr>
              <w:t>维护保养费</w:t>
            </w:r>
            <w:r>
              <w:rPr>
                <w:rFonts w:hint="eastAsia" w:ascii="宋体" w:hAnsi="宋体" w:eastAsia="宋体" w:cs="宋体"/>
                <w:b/>
                <w:bCs/>
                <w:color w:val="auto"/>
                <w:spacing w:val="-1"/>
                <w:sz w:val="21"/>
                <w:szCs w:val="21"/>
                <w:highlight w:val="none"/>
              </w:rPr>
              <w:t>。</w:t>
            </w:r>
          </w:p>
        </w:tc>
      </w:tr>
      <w:tr w14:paraId="0A84DC2F">
        <w:tblPrEx>
          <w:tblBorders>
            <w:top w:val="single" w:color="000000" w:sz="2" w:space="0"/>
            <w:left w:val="single" w:color="000000" w:sz="2" w:space="0"/>
            <w:bottom w:val="single" w:color="000000" w:sz="2" w:space="0"/>
            <w:right w:val="single" w:color="000000" w:sz="2" w:space="0"/>
            <w:insideH w:val="single" w:color="000000" w:sz="2" w:space="0"/>
            <w:insideV w:val="none" w:color="auto" w:sz="0" w:space="0"/>
          </w:tblBorders>
          <w:tblCellMar>
            <w:top w:w="0" w:type="dxa"/>
            <w:left w:w="0" w:type="dxa"/>
            <w:bottom w:w="0" w:type="dxa"/>
            <w:right w:w="0" w:type="dxa"/>
          </w:tblCellMar>
        </w:tblPrEx>
        <w:trPr>
          <w:trHeight w:val="2743" w:hRule="atLeast"/>
        </w:trPr>
        <w:tc>
          <w:tcPr>
            <w:tcW w:w="5000" w:type="pct"/>
            <w:gridSpan w:val="7"/>
            <w:tcBorders>
              <w:tl2br w:val="nil"/>
              <w:tr2bl w:val="nil"/>
            </w:tcBorders>
            <w:noWrap w:val="0"/>
            <w:vAlign w:val="top"/>
          </w:tcPr>
          <w:p w14:paraId="049129AE">
            <w:pPr>
              <w:spacing w:before="32"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说明：</w:t>
            </w:r>
          </w:p>
          <w:p w14:paraId="76941C55">
            <w:pPr>
              <w:numPr>
                <w:ilvl w:val="0"/>
                <w:numId w:val="0"/>
              </w:numPr>
              <w:spacing w:before="61" w:line="360" w:lineRule="auto"/>
              <w:ind w:left="525" w:leftChars="0" w:hanging="525" w:hanging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（1）</w:t>
            </w:r>
            <w:r>
              <w:rPr>
                <w:rFonts w:hint="eastAsia" w:ascii="宋体" w:hAnsi="宋体" w:eastAsia="宋体" w:cs="宋体"/>
                <w:color w:val="auto"/>
                <w:spacing w:val="-4"/>
                <w:sz w:val="21"/>
                <w:szCs w:val="21"/>
                <w:highlight w:val="none"/>
              </w:rPr>
              <w:t>综合评分汇总满分为100分，综合评分汇总得分作为服务质量评分的依据。</w:t>
            </w:r>
          </w:p>
          <w:p w14:paraId="3DD69C7C">
            <w:pPr>
              <w:numPr>
                <w:ilvl w:val="0"/>
                <w:numId w:val="0"/>
              </w:numPr>
              <w:spacing w:before="61" w:line="360" w:lineRule="auto"/>
              <w:ind w:left="525" w:leftChars="0" w:hanging="525" w:hanging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（2）</w:t>
            </w:r>
            <w:r>
              <w:rPr>
                <w:rFonts w:hint="eastAsia" w:ascii="宋体" w:hAnsi="宋体" w:eastAsia="宋体" w:cs="宋体"/>
                <w:color w:val="auto"/>
                <w:spacing w:val="-7"/>
                <w:sz w:val="21"/>
                <w:szCs w:val="21"/>
                <w:highlight w:val="none"/>
              </w:rPr>
              <w:t>综合评分8</w:t>
            </w:r>
            <w:r>
              <w:rPr>
                <w:rFonts w:hint="eastAsia" w:ascii="宋体" w:hAnsi="宋体" w:eastAsia="宋体" w:cs="宋体"/>
                <w:color w:val="auto"/>
                <w:spacing w:val="-7"/>
                <w:sz w:val="21"/>
                <w:szCs w:val="21"/>
                <w:highlight w:val="none"/>
                <w:lang w:val="en-US" w:eastAsia="zh-CN"/>
              </w:rPr>
              <w:t>0</w:t>
            </w:r>
            <w:r>
              <w:rPr>
                <w:rFonts w:hint="eastAsia" w:ascii="宋体" w:hAnsi="宋体" w:eastAsia="宋体" w:cs="宋体"/>
                <w:color w:val="auto"/>
                <w:spacing w:val="-7"/>
                <w:sz w:val="21"/>
                <w:szCs w:val="21"/>
                <w:highlight w:val="none"/>
              </w:rPr>
              <w:t>分（含8</w:t>
            </w:r>
            <w:r>
              <w:rPr>
                <w:rFonts w:hint="eastAsia" w:ascii="宋体" w:hAnsi="宋体" w:eastAsia="宋体" w:cs="宋体"/>
                <w:color w:val="auto"/>
                <w:spacing w:val="-7"/>
                <w:sz w:val="21"/>
                <w:szCs w:val="21"/>
                <w:highlight w:val="none"/>
                <w:lang w:val="en-US" w:eastAsia="zh-CN"/>
              </w:rPr>
              <w:t>0</w:t>
            </w:r>
            <w:r>
              <w:rPr>
                <w:rFonts w:hint="eastAsia" w:ascii="宋体" w:hAnsi="宋体" w:eastAsia="宋体" w:cs="宋体"/>
                <w:color w:val="auto"/>
                <w:spacing w:val="-7"/>
                <w:sz w:val="21"/>
                <w:szCs w:val="21"/>
                <w:highlight w:val="none"/>
              </w:rPr>
              <w:t>分）以上为合格，按</w:t>
            </w:r>
            <w:r>
              <w:rPr>
                <w:rFonts w:hint="eastAsia" w:ascii="宋体" w:hAnsi="宋体" w:eastAsia="宋体" w:cs="宋体"/>
                <w:color w:val="auto"/>
                <w:spacing w:val="-7"/>
                <w:sz w:val="21"/>
                <w:szCs w:val="21"/>
                <w:highlight w:val="none"/>
                <w:lang w:eastAsia="zh-CN"/>
              </w:rPr>
              <w:t>当季维护保养费</w:t>
            </w:r>
            <w:r>
              <w:rPr>
                <w:rFonts w:hint="eastAsia" w:ascii="宋体" w:hAnsi="宋体" w:eastAsia="宋体" w:cs="宋体"/>
                <w:color w:val="auto"/>
                <w:spacing w:val="-7"/>
                <w:sz w:val="21"/>
                <w:szCs w:val="21"/>
                <w:highlight w:val="none"/>
              </w:rPr>
              <w:t>的100%予以结算。</w:t>
            </w:r>
          </w:p>
          <w:p w14:paraId="57F064F0">
            <w:pPr>
              <w:numPr>
                <w:ilvl w:val="0"/>
                <w:numId w:val="0"/>
              </w:numPr>
              <w:spacing w:before="65" w:line="360" w:lineRule="auto"/>
              <w:ind w:left="525" w:leftChars="0" w:right="133" w:rightChars="0" w:hanging="525" w:hanging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（3）</w:t>
            </w:r>
            <w:r>
              <w:rPr>
                <w:rFonts w:hint="eastAsia" w:ascii="宋体" w:hAnsi="宋体" w:eastAsia="宋体" w:cs="宋体"/>
                <w:color w:val="auto"/>
                <w:spacing w:val="-4"/>
                <w:sz w:val="21"/>
                <w:szCs w:val="21"/>
                <w:highlight w:val="none"/>
              </w:rPr>
              <w:t>综合评分8</w:t>
            </w:r>
            <w:r>
              <w:rPr>
                <w:rFonts w:hint="eastAsia" w:ascii="宋体" w:hAnsi="宋体" w:eastAsia="宋体" w:cs="宋体"/>
                <w:color w:val="auto"/>
                <w:spacing w:val="-4"/>
                <w:sz w:val="21"/>
                <w:szCs w:val="21"/>
                <w:highlight w:val="none"/>
                <w:lang w:val="en-US" w:eastAsia="zh-CN"/>
              </w:rPr>
              <w:t>0</w:t>
            </w:r>
            <w:r>
              <w:rPr>
                <w:rFonts w:hint="eastAsia" w:ascii="宋体" w:hAnsi="宋体" w:eastAsia="宋体" w:cs="宋体"/>
                <w:color w:val="auto"/>
                <w:spacing w:val="-4"/>
                <w:sz w:val="21"/>
                <w:szCs w:val="21"/>
                <w:highlight w:val="none"/>
              </w:rPr>
              <w:t>分以下60分以上的，按得分占总分的百分比乘以当</w:t>
            </w:r>
            <w:r>
              <w:rPr>
                <w:rFonts w:hint="eastAsia" w:ascii="宋体" w:hAnsi="宋体" w:eastAsia="宋体" w:cs="宋体"/>
                <w:color w:val="auto"/>
                <w:spacing w:val="-4"/>
                <w:sz w:val="21"/>
                <w:szCs w:val="21"/>
                <w:highlight w:val="none"/>
                <w:lang w:eastAsia="zh-CN"/>
              </w:rPr>
              <w:t>季维护保养费</w:t>
            </w:r>
            <w:r>
              <w:rPr>
                <w:rFonts w:hint="eastAsia" w:ascii="宋体" w:hAnsi="宋体" w:eastAsia="宋体" w:cs="宋体"/>
                <w:color w:val="auto"/>
                <w:spacing w:val="-4"/>
                <w:sz w:val="21"/>
                <w:szCs w:val="21"/>
                <w:highlight w:val="none"/>
              </w:rPr>
              <w:t>总额予以结算，例</w:t>
            </w:r>
            <w:r>
              <w:rPr>
                <w:rFonts w:hint="eastAsia" w:ascii="宋体" w:hAnsi="宋体" w:eastAsia="宋体" w:cs="宋体"/>
                <w:color w:val="auto"/>
                <w:spacing w:val="-1"/>
                <w:sz w:val="21"/>
                <w:szCs w:val="21"/>
                <w:highlight w:val="none"/>
              </w:rPr>
              <w:t>如当</w:t>
            </w:r>
            <w:r>
              <w:rPr>
                <w:rFonts w:hint="eastAsia" w:ascii="宋体" w:hAnsi="宋体" w:eastAsia="宋体" w:cs="宋体"/>
                <w:color w:val="auto"/>
                <w:spacing w:val="-1"/>
                <w:sz w:val="21"/>
                <w:szCs w:val="21"/>
                <w:highlight w:val="none"/>
                <w:lang w:eastAsia="zh-CN"/>
              </w:rPr>
              <w:t>季</w:t>
            </w:r>
            <w:r>
              <w:rPr>
                <w:rFonts w:hint="eastAsia" w:ascii="宋体" w:hAnsi="宋体" w:eastAsia="宋体" w:cs="宋体"/>
                <w:color w:val="auto"/>
                <w:spacing w:val="-1"/>
                <w:sz w:val="21"/>
                <w:szCs w:val="21"/>
                <w:highlight w:val="none"/>
              </w:rPr>
              <w:t>综合考评为</w:t>
            </w:r>
            <w:r>
              <w:rPr>
                <w:rFonts w:hint="eastAsia" w:ascii="宋体" w:hAnsi="宋体" w:eastAsia="宋体" w:cs="宋体"/>
                <w:color w:val="auto"/>
                <w:spacing w:val="-1"/>
                <w:sz w:val="21"/>
                <w:szCs w:val="21"/>
                <w:highlight w:val="none"/>
                <w:lang w:val="en-US" w:eastAsia="zh-CN"/>
              </w:rPr>
              <w:t>79</w:t>
            </w:r>
            <w:r>
              <w:rPr>
                <w:rFonts w:hint="eastAsia" w:ascii="宋体" w:hAnsi="宋体" w:eastAsia="宋体" w:cs="宋体"/>
                <w:color w:val="auto"/>
                <w:spacing w:val="-1"/>
                <w:sz w:val="21"/>
                <w:szCs w:val="21"/>
                <w:highlight w:val="none"/>
              </w:rPr>
              <w:t>分则按当</w:t>
            </w:r>
            <w:r>
              <w:rPr>
                <w:rFonts w:hint="eastAsia" w:ascii="宋体" w:hAnsi="宋体" w:eastAsia="宋体" w:cs="宋体"/>
                <w:color w:val="auto"/>
                <w:spacing w:val="-1"/>
                <w:sz w:val="21"/>
                <w:szCs w:val="21"/>
                <w:highlight w:val="none"/>
                <w:lang w:eastAsia="zh-CN"/>
              </w:rPr>
              <w:t>季维护保养费</w:t>
            </w:r>
            <w:r>
              <w:rPr>
                <w:rFonts w:hint="eastAsia" w:ascii="宋体" w:hAnsi="宋体" w:eastAsia="宋体" w:cs="宋体"/>
                <w:color w:val="auto"/>
                <w:spacing w:val="-1"/>
                <w:sz w:val="21"/>
                <w:szCs w:val="21"/>
                <w:highlight w:val="none"/>
              </w:rPr>
              <w:t>总额的</w:t>
            </w:r>
            <w:r>
              <w:rPr>
                <w:rFonts w:hint="eastAsia" w:ascii="宋体" w:hAnsi="宋体" w:eastAsia="宋体" w:cs="宋体"/>
                <w:color w:val="auto"/>
                <w:spacing w:val="-1"/>
                <w:sz w:val="21"/>
                <w:szCs w:val="21"/>
                <w:highlight w:val="none"/>
                <w:lang w:val="en-US" w:eastAsia="zh-CN"/>
              </w:rPr>
              <w:t>79</w:t>
            </w:r>
            <w:r>
              <w:rPr>
                <w:rFonts w:hint="eastAsia" w:ascii="宋体" w:hAnsi="宋体" w:eastAsia="宋体" w:cs="宋体"/>
                <w:color w:val="auto"/>
                <w:spacing w:val="-1"/>
                <w:sz w:val="21"/>
                <w:szCs w:val="21"/>
                <w:highlight w:val="none"/>
              </w:rPr>
              <w:t>%予以结算，</w:t>
            </w:r>
            <w:r>
              <w:rPr>
                <w:rFonts w:hint="eastAsia" w:ascii="宋体" w:hAnsi="宋体" w:cs="宋体"/>
                <w:color w:val="auto"/>
                <w:spacing w:val="-1"/>
                <w:sz w:val="21"/>
                <w:szCs w:val="21"/>
                <w:highlight w:val="none"/>
                <w:lang w:eastAsia="zh-CN"/>
              </w:rPr>
              <w:t>以此类推</w:t>
            </w:r>
            <w:r>
              <w:rPr>
                <w:rFonts w:hint="eastAsia" w:ascii="宋体" w:hAnsi="宋体" w:eastAsia="宋体" w:cs="宋体"/>
                <w:color w:val="auto"/>
                <w:spacing w:val="-1"/>
                <w:sz w:val="21"/>
                <w:szCs w:val="21"/>
                <w:highlight w:val="none"/>
              </w:rPr>
              <w:t>。</w:t>
            </w:r>
          </w:p>
          <w:p w14:paraId="60AB3E70">
            <w:pPr>
              <w:numPr>
                <w:ilvl w:val="0"/>
                <w:numId w:val="0"/>
              </w:numPr>
              <w:spacing w:before="64" w:line="360" w:lineRule="auto"/>
              <w:ind w:left="525" w:leftChars="0" w:hanging="525" w:hanging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（4）</w:t>
            </w:r>
            <w:r>
              <w:rPr>
                <w:rFonts w:hint="eastAsia" w:ascii="宋体" w:hAnsi="宋体" w:eastAsia="宋体" w:cs="宋体"/>
                <w:color w:val="auto"/>
                <w:spacing w:val="-5"/>
                <w:sz w:val="21"/>
                <w:szCs w:val="21"/>
                <w:highlight w:val="none"/>
              </w:rPr>
              <w:t>综合评分在60分以下的，扣除</w:t>
            </w:r>
            <w:r>
              <w:rPr>
                <w:rFonts w:hint="eastAsia" w:ascii="宋体" w:hAnsi="宋体" w:eastAsia="宋体" w:cs="宋体"/>
                <w:color w:val="auto"/>
                <w:spacing w:val="-5"/>
                <w:sz w:val="21"/>
                <w:szCs w:val="21"/>
                <w:highlight w:val="none"/>
                <w:lang w:eastAsia="zh-CN"/>
              </w:rPr>
              <w:t>当季</w:t>
            </w:r>
            <w:r>
              <w:rPr>
                <w:rFonts w:hint="eastAsia" w:ascii="宋体" w:hAnsi="宋体" w:eastAsia="宋体" w:cs="宋体"/>
                <w:color w:val="auto"/>
                <w:spacing w:val="-5"/>
                <w:sz w:val="21"/>
                <w:szCs w:val="21"/>
                <w:highlight w:val="none"/>
              </w:rPr>
              <w:t>全部</w:t>
            </w:r>
            <w:r>
              <w:rPr>
                <w:rFonts w:hint="eastAsia" w:ascii="宋体" w:hAnsi="宋体" w:eastAsia="宋体" w:cs="宋体"/>
                <w:color w:val="auto"/>
                <w:spacing w:val="-5"/>
                <w:sz w:val="21"/>
                <w:szCs w:val="21"/>
                <w:highlight w:val="none"/>
                <w:lang w:eastAsia="zh-CN"/>
              </w:rPr>
              <w:t>维护保养费</w:t>
            </w:r>
            <w:r>
              <w:rPr>
                <w:rFonts w:hint="eastAsia" w:ascii="宋体" w:hAnsi="宋体" w:eastAsia="宋体" w:cs="宋体"/>
                <w:color w:val="auto"/>
                <w:spacing w:val="-5"/>
                <w:sz w:val="21"/>
                <w:szCs w:val="21"/>
                <w:highlight w:val="none"/>
              </w:rPr>
              <w:t>。</w:t>
            </w:r>
          </w:p>
          <w:p w14:paraId="0847D519">
            <w:pPr>
              <w:numPr>
                <w:ilvl w:val="0"/>
                <w:numId w:val="0"/>
              </w:numPr>
              <w:spacing w:before="63" w:line="360" w:lineRule="auto"/>
              <w:ind w:left="525" w:leftChars="0" w:right="109" w:hanging="525" w:hanging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（5）</w:t>
            </w:r>
            <w:r>
              <w:rPr>
                <w:rFonts w:hint="eastAsia" w:ascii="宋体" w:hAnsi="宋体" w:eastAsia="宋体" w:cs="宋体"/>
                <w:color w:val="auto"/>
                <w:spacing w:val="-5"/>
                <w:sz w:val="21"/>
                <w:szCs w:val="21"/>
                <w:highlight w:val="none"/>
              </w:rPr>
              <w:t>连续2个</w:t>
            </w:r>
            <w:r>
              <w:rPr>
                <w:rFonts w:hint="eastAsia" w:ascii="宋体" w:hAnsi="宋体" w:eastAsia="宋体" w:cs="宋体"/>
                <w:color w:val="auto"/>
                <w:spacing w:val="-5"/>
                <w:sz w:val="21"/>
                <w:szCs w:val="21"/>
                <w:highlight w:val="none"/>
                <w:lang w:eastAsia="zh-CN"/>
              </w:rPr>
              <w:t>季度</w:t>
            </w:r>
            <w:r>
              <w:rPr>
                <w:rFonts w:hint="eastAsia" w:ascii="宋体" w:hAnsi="宋体" w:eastAsia="宋体" w:cs="宋体"/>
                <w:color w:val="auto"/>
                <w:spacing w:val="-5"/>
                <w:sz w:val="21"/>
                <w:szCs w:val="21"/>
                <w:highlight w:val="none"/>
              </w:rPr>
              <w:t>综合评分在60分以下的</w:t>
            </w:r>
            <w:r>
              <w:rPr>
                <w:rFonts w:hint="eastAsia" w:ascii="宋体" w:hAnsi="宋体" w:eastAsia="宋体" w:cs="宋体"/>
                <w:color w:val="auto"/>
                <w:spacing w:val="-5"/>
                <w:sz w:val="21"/>
                <w:szCs w:val="21"/>
                <w:highlight w:val="none"/>
                <w:lang w:eastAsia="zh-CN"/>
              </w:rPr>
              <w:t>，比选人</w:t>
            </w:r>
            <w:r>
              <w:rPr>
                <w:rFonts w:hint="eastAsia" w:ascii="宋体" w:hAnsi="宋体" w:eastAsia="宋体" w:cs="宋体"/>
                <w:color w:val="auto"/>
                <w:spacing w:val="-5"/>
                <w:sz w:val="21"/>
                <w:szCs w:val="21"/>
                <w:highlight w:val="none"/>
              </w:rPr>
              <w:t>有权要求</w:t>
            </w:r>
            <w:r>
              <w:rPr>
                <w:rFonts w:hint="eastAsia" w:ascii="宋体" w:hAnsi="宋体" w:eastAsia="宋体" w:cs="宋体"/>
                <w:color w:val="auto"/>
                <w:spacing w:val="-5"/>
                <w:sz w:val="21"/>
                <w:szCs w:val="21"/>
                <w:highlight w:val="none"/>
                <w:lang w:eastAsia="zh-CN"/>
              </w:rPr>
              <w:t>供应商</w:t>
            </w:r>
            <w:r>
              <w:rPr>
                <w:rFonts w:hint="eastAsia" w:ascii="宋体" w:hAnsi="宋体" w:eastAsia="宋体" w:cs="宋体"/>
                <w:color w:val="auto"/>
                <w:spacing w:val="-5"/>
                <w:sz w:val="21"/>
                <w:szCs w:val="21"/>
                <w:highlight w:val="none"/>
              </w:rPr>
              <w:t>更换</w:t>
            </w:r>
            <w:r>
              <w:rPr>
                <w:rFonts w:hint="eastAsia" w:ascii="宋体" w:hAnsi="宋体" w:eastAsia="宋体" w:cs="宋体"/>
                <w:color w:val="auto"/>
                <w:spacing w:val="-5"/>
                <w:sz w:val="21"/>
                <w:szCs w:val="21"/>
                <w:highlight w:val="none"/>
                <w:lang w:val="en-US" w:eastAsia="zh-CN"/>
              </w:rPr>
              <w:t>技术</w:t>
            </w:r>
            <w:r>
              <w:rPr>
                <w:rFonts w:hint="eastAsia" w:ascii="宋体" w:hAnsi="宋体" w:eastAsia="宋体" w:cs="宋体"/>
                <w:color w:val="auto"/>
                <w:spacing w:val="-5"/>
                <w:sz w:val="21"/>
                <w:szCs w:val="21"/>
                <w:highlight w:val="none"/>
              </w:rPr>
              <w:t>人员，并以书面形式向</w:t>
            </w:r>
            <w:r>
              <w:rPr>
                <w:rFonts w:hint="eastAsia" w:ascii="宋体" w:hAnsi="宋体" w:eastAsia="宋体" w:cs="宋体"/>
                <w:color w:val="auto"/>
                <w:spacing w:val="-5"/>
                <w:sz w:val="21"/>
                <w:szCs w:val="21"/>
                <w:highlight w:val="none"/>
                <w:lang w:val="en-US" w:eastAsia="zh-CN"/>
              </w:rPr>
              <w:t>比选人</w:t>
            </w:r>
            <w:r>
              <w:rPr>
                <w:rFonts w:hint="eastAsia" w:ascii="宋体" w:hAnsi="宋体" w:eastAsia="宋体" w:cs="宋体"/>
                <w:color w:val="auto"/>
                <w:spacing w:val="-5"/>
                <w:sz w:val="21"/>
                <w:szCs w:val="21"/>
                <w:highlight w:val="none"/>
              </w:rPr>
              <w:t>提</w:t>
            </w:r>
            <w:r>
              <w:rPr>
                <w:rFonts w:hint="eastAsia" w:ascii="宋体" w:hAnsi="宋体" w:eastAsia="宋体" w:cs="宋体"/>
                <w:color w:val="auto"/>
                <w:spacing w:val="-2"/>
                <w:sz w:val="21"/>
                <w:szCs w:val="21"/>
                <w:highlight w:val="none"/>
              </w:rPr>
              <w:t>交整改应对措施。</w:t>
            </w:r>
          </w:p>
          <w:p w14:paraId="33C1862E">
            <w:pPr>
              <w:numPr>
                <w:ilvl w:val="0"/>
                <w:numId w:val="0"/>
              </w:numPr>
              <w:spacing w:before="62" w:line="360" w:lineRule="auto"/>
              <w:ind w:left="525" w:leftChars="0" w:hanging="525" w:hanging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（6）</w:t>
            </w:r>
            <w:r>
              <w:rPr>
                <w:rFonts w:hint="eastAsia" w:ascii="宋体" w:hAnsi="宋体" w:eastAsia="宋体" w:cs="宋体"/>
                <w:color w:val="auto"/>
                <w:spacing w:val="-3"/>
                <w:sz w:val="21"/>
                <w:szCs w:val="21"/>
                <w:highlight w:val="none"/>
              </w:rPr>
              <w:t>连续3个</w:t>
            </w:r>
            <w:r>
              <w:rPr>
                <w:rFonts w:hint="eastAsia" w:ascii="宋体" w:hAnsi="宋体" w:eastAsia="宋体" w:cs="宋体"/>
                <w:color w:val="auto"/>
                <w:spacing w:val="-3"/>
                <w:sz w:val="21"/>
                <w:szCs w:val="21"/>
                <w:highlight w:val="none"/>
                <w:lang w:eastAsia="zh-CN"/>
              </w:rPr>
              <w:t>季度</w:t>
            </w:r>
            <w:r>
              <w:rPr>
                <w:rFonts w:hint="eastAsia" w:ascii="宋体" w:hAnsi="宋体" w:eastAsia="宋体" w:cs="宋体"/>
                <w:color w:val="auto"/>
                <w:spacing w:val="-3"/>
                <w:sz w:val="21"/>
                <w:szCs w:val="21"/>
                <w:highlight w:val="none"/>
              </w:rPr>
              <w:t>综合评分在60分以下，则</w:t>
            </w:r>
            <w:r>
              <w:rPr>
                <w:rFonts w:hint="eastAsia" w:ascii="宋体" w:hAnsi="宋体" w:cs="宋体"/>
                <w:color w:val="auto"/>
                <w:spacing w:val="-3"/>
                <w:sz w:val="21"/>
                <w:szCs w:val="21"/>
                <w:highlight w:val="none"/>
                <w:lang w:eastAsia="zh-CN"/>
              </w:rPr>
              <w:t>视作</w:t>
            </w:r>
            <w:r>
              <w:rPr>
                <w:rFonts w:hint="eastAsia" w:ascii="宋体" w:hAnsi="宋体" w:eastAsia="宋体" w:cs="宋体"/>
                <w:color w:val="auto"/>
                <w:spacing w:val="-3"/>
                <w:sz w:val="21"/>
                <w:szCs w:val="21"/>
                <w:highlight w:val="none"/>
                <w:lang w:eastAsia="zh-CN"/>
              </w:rPr>
              <w:t>供应商</w:t>
            </w:r>
            <w:r>
              <w:rPr>
                <w:rFonts w:hint="eastAsia" w:ascii="宋体" w:hAnsi="宋体" w:eastAsia="宋体" w:cs="宋体"/>
                <w:color w:val="auto"/>
                <w:spacing w:val="-3"/>
                <w:sz w:val="21"/>
                <w:szCs w:val="21"/>
                <w:highlight w:val="none"/>
              </w:rPr>
              <w:t>违约，</w:t>
            </w:r>
            <w:r>
              <w:rPr>
                <w:rFonts w:hint="eastAsia" w:ascii="宋体" w:hAnsi="宋体" w:eastAsia="宋体" w:cs="宋体"/>
                <w:color w:val="auto"/>
                <w:spacing w:val="-3"/>
                <w:sz w:val="21"/>
                <w:szCs w:val="21"/>
                <w:highlight w:val="none"/>
                <w:lang w:eastAsia="zh-CN"/>
              </w:rPr>
              <w:t>比选人</w:t>
            </w:r>
            <w:r>
              <w:rPr>
                <w:rFonts w:hint="eastAsia" w:ascii="宋体" w:hAnsi="宋体" w:eastAsia="宋体" w:cs="宋体"/>
                <w:color w:val="auto"/>
                <w:spacing w:val="-3"/>
                <w:sz w:val="21"/>
                <w:szCs w:val="21"/>
                <w:highlight w:val="none"/>
              </w:rPr>
              <w:t>有随时单方面终止合同的权利。</w:t>
            </w:r>
          </w:p>
        </w:tc>
      </w:tr>
      <w:tr w14:paraId="5E53F4FF">
        <w:tblPrEx>
          <w:tblBorders>
            <w:top w:val="single" w:color="000000" w:sz="2" w:space="0"/>
            <w:left w:val="single" w:color="000000" w:sz="2" w:space="0"/>
            <w:bottom w:val="single" w:color="000000" w:sz="2" w:space="0"/>
            <w:right w:val="single" w:color="000000" w:sz="2" w:space="0"/>
            <w:insideH w:val="single" w:color="000000" w:sz="2" w:space="0"/>
            <w:insideV w:val="none" w:color="auto" w:sz="0" w:space="0"/>
          </w:tblBorders>
          <w:tblCellMar>
            <w:top w:w="0" w:type="dxa"/>
            <w:left w:w="0" w:type="dxa"/>
            <w:bottom w:w="0" w:type="dxa"/>
            <w:right w:w="0" w:type="dxa"/>
          </w:tblCellMar>
        </w:tblPrEx>
        <w:trPr>
          <w:trHeight w:val="1838" w:hRule="atLeast"/>
        </w:trPr>
        <w:tc>
          <w:tcPr>
            <w:tcW w:w="2314" w:type="pct"/>
            <w:gridSpan w:val="3"/>
            <w:tcBorders>
              <w:tl2br w:val="nil"/>
              <w:tr2bl w:val="nil"/>
            </w:tcBorders>
            <w:noWrap w:val="0"/>
            <w:vAlign w:val="top"/>
          </w:tcPr>
          <w:p w14:paraId="719A61FB">
            <w:pPr>
              <w:spacing w:line="360" w:lineRule="auto"/>
              <w:rPr>
                <w:rFonts w:hint="eastAsia" w:ascii="宋体" w:hAnsi="宋体" w:eastAsia="宋体" w:cs="宋体"/>
                <w:color w:val="auto"/>
                <w:sz w:val="21"/>
                <w:szCs w:val="21"/>
                <w:highlight w:val="none"/>
              </w:rPr>
            </w:pPr>
          </w:p>
          <w:p w14:paraId="6FCBDE1F">
            <w:pPr>
              <w:spacing w:before="69" w:line="360" w:lineRule="auto"/>
              <w:ind w:firstLine="116"/>
              <w:rPr>
                <w:rFonts w:hint="eastAsia" w:ascii="宋体" w:hAnsi="宋体" w:eastAsia="宋体" w:cs="宋体"/>
                <w:color w:val="auto"/>
                <w:spacing w:val="-3"/>
                <w:position w:val="14"/>
                <w:sz w:val="21"/>
                <w:szCs w:val="21"/>
                <w:highlight w:val="none"/>
              </w:rPr>
            </w:pPr>
            <w:r>
              <w:rPr>
                <w:rFonts w:hint="eastAsia" w:ascii="宋体" w:hAnsi="宋体" w:eastAsia="宋体" w:cs="宋体"/>
                <w:color w:val="auto"/>
                <w:spacing w:val="-3"/>
                <w:position w:val="14"/>
                <w:sz w:val="21"/>
                <w:szCs w:val="21"/>
                <w:highlight w:val="none"/>
              </w:rPr>
              <w:t>考评人：</w:t>
            </w:r>
          </w:p>
          <w:p w14:paraId="74AF21FE">
            <w:pPr>
              <w:spacing w:before="69" w:line="360" w:lineRule="auto"/>
              <w:ind w:firstLine="116"/>
              <w:rPr>
                <w:rFonts w:hint="eastAsia" w:ascii="宋体" w:hAnsi="宋体" w:eastAsia="宋体" w:cs="宋体"/>
                <w:color w:val="auto"/>
                <w:spacing w:val="-3"/>
                <w:position w:val="14"/>
                <w:sz w:val="21"/>
                <w:szCs w:val="21"/>
                <w:highlight w:val="none"/>
              </w:rPr>
            </w:pPr>
          </w:p>
          <w:p w14:paraId="645B395D">
            <w:pPr>
              <w:spacing w:line="360" w:lineRule="auto"/>
              <w:ind w:firstLine="11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签名：</w:t>
            </w:r>
          </w:p>
        </w:tc>
        <w:tc>
          <w:tcPr>
            <w:tcW w:w="2685" w:type="pct"/>
            <w:gridSpan w:val="4"/>
            <w:tcBorders>
              <w:tl2br w:val="nil"/>
              <w:tr2bl w:val="nil"/>
            </w:tcBorders>
            <w:noWrap w:val="0"/>
            <w:vAlign w:val="top"/>
          </w:tcPr>
          <w:p w14:paraId="2F918B6A">
            <w:pPr>
              <w:spacing w:line="360" w:lineRule="auto"/>
              <w:rPr>
                <w:rFonts w:hint="eastAsia" w:ascii="宋体" w:hAnsi="宋体" w:eastAsia="宋体" w:cs="宋体"/>
                <w:color w:val="auto"/>
                <w:sz w:val="21"/>
                <w:szCs w:val="21"/>
                <w:highlight w:val="none"/>
              </w:rPr>
            </w:pPr>
          </w:p>
          <w:p w14:paraId="3DBB44A6">
            <w:pPr>
              <w:spacing w:before="69" w:line="360" w:lineRule="auto"/>
              <w:ind w:firstLine="204" w:firstLineChars="100"/>
              <w:rPr>
                <w:rFonts w:hint="eastAsia" w:ascii="宋体" w:hAnsi="宋体" w:eastAsia="宋体" w:cs="宋体"/>
                <w:color w:val="auto"/>
                <w:spacing w:val="-3"/>
                <w:position w:val="14"/>
                <w:sz w:val="21"/>
                <w:szCs w:val="21"/>
                <w:highlight w:val="none"/>
              </w:rPr>
            </w:pPr>
            <w:r>
              <w:rPr>
                <w:rFonts w:hint="eastAsia" w:ascii="宋体" w:hAnsi="宋体" w:eastAsia="宋体" w:cs="宋体"/>
                <w:color w:val="auto"/>
                <w:spacing w:val="-3"/>
                <w:position w:val="14"/>
                <w:sz w:val="21"/>
                <w:szCs w:val="21"/>
                <w:highlight w:val="none"/>
              </w:rPr>
              <w:t>被考评人：</w:t>
            </w:r>
          </w:p>
          <w:p w14:paraId="5DA7A198">
            <w:pPr>
              <w:spacing w:before="69" w:line="360" w:lineRule="auto"/>
              <w:ind w:firstLine="204" w:firstLineChars="100"/>
              <w:rPr>
                <w:rFonts w:hint="eastAsia" w:ascii="宋体" w:hAnsi="宋体" w:eastAsia="宋体" w:cs="宋体"/>
                <w:color w:val="auto"/>
                <w:spacing w:val="-3"/>
                <w:position w:val="14"/>
                <w:sz w:val="21"/>
                <w:szCs w:val="21"/>
                <w:highlight w:val="none"/>
              </w:rPr>
            </w:pPr>
          </w:p>
          <w:p w14:paraId="0520C403">
            <w:pPr>
              <w:spacing w:line="360" w:lineRule="auto"/>
              <w:ind w:firstLine="178" w:firstLineChars="100"/>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日期：</w:t>
            </w:r>
          </w:p>
          <w:p w14:paraId="56FEC4A9">
            <w:pPr>
              <w:spacing w:line="360" w:lineRule="auto"/>
              <w:rPr>
                <w:rFonts w:hint="eastAsia" w:ascii="宋体" w:hAnsi="宋体" w:eastAsia="宋体" w:cs="宋体"/>
                <w:color w:val="auto"/>
                <w:spacing w:val="-16"/>
                <w:sz w:val="21"/>
                <w:szCs w:val="21"/>
                <w:highlight w:val="none"/>
              </w:rPr>
            </w:pPr>
          </w:p>
        </w:tc>
      </w:tr>
    </w:tbl>
    <w:p w14:paraId="764D6C84">
      <w:pPr>
        <w:pStyle w:val="31"/>
        <w:spacing w:line="360" w:lineRule="auto"/>
        <w:rPr>
          <w:color w:val="auto"/>
          <w:sz w:val="21"/>
          <w:szCs w:val="21"/>
          <w:highlight w:val="none"/>
        </w:rPr>
      </w:pPr>
    </w:p>
    <w:p w14:paraId="4C0E6B08">
      <w:pPr>
        <w:pStyle w:val="31"/>
        <w:spacing w:line="360" w:lineRule="auto"/>
        <w:rPr>
          <w:color w:val="auto"/>
          <w:sz w:val="21"/>
          <w:szCs w:val="21"/>
          <w:highlight w:val="none"/>
        </w:rPr>
      </w:pPr>
    </w:p>
    <w:p w14:paraId="5F781EB7">
      <w:pPr>
        <w:spacing w:before="69" w:line="360" w:lineRule="auto"/>
        <w:jc w:val="left"/>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eastAsia="zh-CN"/>
        </w:rPr>
        <w:br w:type="page"/>
      </w:r>
      <w:r>
        <w:rPr>
          <w:rFonts w:hint="eastAsia" w:ascii="宋体" w:hAnsi="宋体" w:eastAsia="宋体" w:cs="宋体"/>
          <w:color w:val="auto"/>
          <w:spacing w:val="-1"/>
          <w:sz w:val="21"/>
          <w:szCs w:val="21"/>
          <w:highlight w:val="none"/>
          <w:lang w:eastAsia="zh-CN"/>
        </w:rPr>
        <w:t>附表</w:t>
      </w:r>
      <w:r>
        <w:rPr>
          <w:rFonts w:hint="eastAsia" w:ascii="宋体" w:hAnsi="宋体" w:eastAsia="宋体" w:cs="宋体"/>
          <w:color w:val="auto"/>
          <w:spacing w:val="-1"/>
          <w:sz w:val="21"/>
          <w:szCs w:val="21"/>
          <w:highlight w:val="none"/>
          <w:lang w:val="en-US" w:eastAsia="zh-CN"/>
        </w:rPr>
        <w:t>2：</w:t>
      </w:r>
    </w:p>
    <w:p w14:paraId="0F69B486">
      <w:pPr>
        <w:spacing w:before="69" w:line="360" w:lineRule="auto"/>
        <w:jc w:val="center"/>
        <w:rPr>
          <w:rFonts w:hint="eastAsia" w:ascii="宋体" w:hAnsi="Times New Roman" w:eastAsia="宋体" w:cs="Times New Roman"/>
          <w:b/>
          <w:bCs/>
          <w:color w:val="auto"/>
          <w:sz w:val="28"/>
          <w:szCs w:val="28"/>
          <w:highlight w:val="none"/>
          <w:lang w:eastAsia="zh-CN"/>
        </w:rPr>
      </w:pPr>
      <w:r>
        <w:rPr>
          <w:rFonts w:hint="eastAsia" w:ascii="宋体" w:hAnsi="Times New Roman" w:eastAsia="宋体" w:cs="Times New Roman"/>
          <w:b/>
          <w:bCs/>
          <w:color w:val="auto"/>
          <w:spacing w:val="0"/>
          <w:sz w:val="28"/>
          <w:szCs w:val="28"/>
          <w:highlight w:val="none"/>
        </w:rPr>
        <w:t>电梯维保易耗件目录</w:t>
      </w:r>
    </w:p>
    <w:tbl>
      <w:tblPr>
        <w:tblStyle w:val="19"/>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3560"/>
        <w:gridCol w:w="3591"/>
      </w:tblGrid>
      <w:tr w14:paraId="76C1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pct"/>
            <w:noWrap w:val="0"/>
            <w:vAlign w:val="center"/>
          </w:tcPr>
          <w:p w14:paraId="1945C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auto"/>
                <w:kern w:val="0"/>
                <w:sz w:val="21"/>
                <w:szCs w:val="21"/>
                <w:highlight w:val="none"/>
                <w:vertAlign w:val="baseline"/>
                <w:lang w:val="en-US" w:eastAsia="zh-CN" w:bidi="ar-SA"/>
              </w:rPr>
            </w:pPr>
            <w:r>
              <w:rPr>
                <w:rFonts w:hint="eastAsia" w:ascii="宋体" w:hAnsi="宋体" w:eastAsia="宋体" w:cs="宋体"/>
                <w:b/>
                <w:bCs/>
                <w:color w:val="auto"/>
                <w:kern w:val="0"/>
                <w:sz w:val="21"/>
                <w:szCs w:val="21"/>
                <w:highlight w:val="none"/>
                <w:vertAlign w:val="baseline"/>
                <w:lang w:val="en-US" w:eastAsia="zh-CN" w:bidi="ar-SA"/>
              </w:rPr>
              <w:t>序号</w:t>
            </w:r>
          </w:p>
        </w:tc>
        <w:tc>
          <w:tcPr>
            <w:tcW w:w="2091" w:type="pct"/>
            <w:noWrap w:val="0"/>
            <w:vAlign w:val="center"/>
          </w:tcPr>
          <w:p w14:paraId="407F15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color w:val="auto"/>
                <w:kern w:val="0"/>
                <w:sz w:val="21"/>
                <w:szCs w:val="21"/>
                <w:highlight w:val="none"/>
                <w:vertAlign w:val="baseline"/>
                <w:lang w:val="en-US" w:eastAsia="zh-CN" w:bidi="ar-SA"/>
              </w:rPr>
            </w:pPr>
            <w:r>
              <w:rPr>
                <w:rFonts w:hint="eastAsia" w:ascii="宋体" w:hAnsi="宋体" w:eastAsia="宋体" w:cs="宋体"/>
                <w:b/>
                <w:bCs/>
                <w:color w:val="auto"/>
                <w:kern w:val="0"/>
                <w:sz w:val="21"/>
                <w:szCs w:val="21"/>
                <w:highlight w:val="none"/>
                <w:lang w:val="en-US" w:eastAsia="zh-CN" w:bidi="ar-SA"/>
              </w:rPr>
              <w:t>易耗件名称</w:t>
            </w:r>
          </w:p>
        </w:tc>
        <w:tc>
          <w:tcPr>
            <w:tcW w:w="2109" w:type="pct"/>
            <w:noWrap w:val="0"/>
            <w:vAlign w:val="center"/>
          </w:tcPr>
          <w:p w14:paraId="36712A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auto"/>
                <w:kern w:val="0"/>
                <w:sz w:val="21"/>
                <w:szCs w:val="21"/>
                <w:highlight w:val="none"/>
                <w:vertAlign w:val="baseline"/>
                <w:lang w:val="en-US" w:eastAsia="zh-CN" w:bidi="ar-SA"/>
              </w:rPr>
            </w:pPr>
            <w:r>
              <w:rPr>
                <w:rFonts w:hint="eastAsia" w:ascii="宋体" w:hAnsi="宋体" w:eastAsia="宋体" w:cs="宋体"/>
                <w:b/>
                <w:bCs/>
                <w:color w:val="auto"/>
                <w:kern w:val="0"/>
                <w:sz w:val="21"/>
                <w:szCs w:val="21"/>
                <w:highlight w:val="none"/>
                <w:vertAlign w:val="baseline"/>
                <w:lang w:val="en-US" w:eastAsia="zh-CN" w:bidi="ar-SA"/>
              </w:rPr>
              <w:t>型号</w:t>
            </w:r>
          </w:p>
        </w:tc>
      </w:tr>
      <w:tr w14:paraId="622B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pct"/>
            <w:noWrap w:val="0"/>
            <w:vAlign w:val="center"/>
          </w:tcPr>
          <w:p w14:paraId="66A49AB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default" w:ascii="宋体" w:hAnsi="宋体" w:eastAsia="宋体" w:cs="宋体"/>
                <w:color w:val="auto"/>
                <w:kern w:val="0"/>
                <w:sz w:val="21"/>
                <w:szCs w:val="21"/>
                <w:highlight w:val="none"/>
                <w:vertAlign w:val="baseline"/>
                <w:lang w:val="en-US" w:eastAsia="zh-CN" w:bidi="ar-SA"/>
              </w:rPr>
              <w:t>1</w:t>
            </w:r>
          </w:p>
        </w:tc>
        <w:tc>
          <w:tcPr>
            <w:tcW w:w="2091" w:type="pct"/>
            <w:noWrap w:val="0"/>
            <w:vAlign w:val="center"/>
          </w:tcPr>
          <w:p w14:paraId="408B9B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按钮开关</w:t>
            </w:r>
          </w:p>
        </w:tc>
        <w:tc>
          <w:tcPr>
            <w:tcW w:w="2109" w:type="pct"/>
            <w:noWrap w:val="0"/>
            <w:vAlign w:val="center"/>
          </w:tcPr>
          <w:p w14:paraId="255F28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1"/>
                <w:szCs w:val="21"/>
                <w:highlight w:val="none"/>
                <w:vertAlign w:val="baseline"/>
                <w:lang w:val="en-US" w:eastAsia="zh-CN" w:bidi="ar-SA"/>
              </w:rPr>
            </w:pPr>
          </w:p>
        </w:tc>
      </w:tr>
      <w:tr w14:paraId="3E0E6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pct"/>
            <w:noWrap w:val="0"/>
            <w:vAlign w:val="center"/>
          </w:tcPr>
          <w:p w14:paraId="3F203BC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center"/>
              <w:textAlignment w:val="auto"/>
              <w:rPr>
                <w:rFonts w:hint="default" w:ascii="宋体" w:hAnsi="宋体" w:eastAsia="宋体" w:cs="宋体"/>
                <w:color w:val="auto"/>
                <w:kern w:val="0"/>
                <w:sz w:val="21"/>
                <w:szCs w:val="21"/>
                <w:highlight w:val="none"/>
                <w:vertAlign w:val="baseline"/>
                <w:lang w:val="en-US" w:eastAsia="zh-CN" w:bidi="ar-SA"/>
              </w:rPr>
            </w:pPr>
            <w:r>
              <w:rPr>
                <w:rFonts w:hint="default" w:ascii="宋体" w:hAnsi="宋体" w:eastAsia="宋体" w:cs="宋体"/>
                <w:color w:val="auto"/>
                <w:kern w:val="0"/>
                <w:sz w:val="21"/>
                <w:szCs w:val="21"/>
                <w:highlight w:val="none"/>
                <w:vertAlign w:val="baseline"/>
                <w:lang w:val="en-US" w:eastAsia="zh-CN" w:bidi="ar-SA"/>
              </w:rPr>
              <w:t>2</w:t>
            </w:r>
          </w:p>
        </w:tc>
        <w:tc>
          <w:tcPr>
            <w:tcW w:w="2091" w:type="pct"/>
            <w:noWrap w:val="0"/>
            <w:vAlign w:val="center"/>
          </w:tcPr>
          <w:p w14:paraId="1961E2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简型保险丝</w:t>
            </w:r>
          </w:p>
        </w:tc>
        <w:tc>
          <w:tcPr>
            <w:tcW w:w="2109" w:type="pct"/>
            <w:noWrap w:val="0"/>
            <w:vAlign w:val="center"/>
          </w:tcPr>
          <w:p w14:paraId="32FB10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1"/>
                <w:szCs w:val="21"/>
                <w:highlight w:val="none"/>
                <w:vertAlign w:val="baseline"/>
                <w:lang w:val="en-US" w:eastAsia="zh-CN" w:bidi="ar-SA"/>
              </w:rPr>
            </w:pPr>
          </w:p>
        </w:tc>
      </w:tr>
      <w:tr w14:paraId="0299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pct"/>
            <w:noWrap w:val="0"/>
            <w:vAlign w:val="center"/>
          </w:tcPr>
          <w:p w14:paraId="5A76C4A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center"/>
              <w:textAlignment w:val="auto"/>
              <w:rPr>
                <w:rFonts w:hint="default" w:ascii="宋体" w:hAnsi="宋体" w:eastAsia="宋体" w:cs="宋体"/>
                <w:color w:val="auto"/>
                <w:kern w:val="0"/>
                <w:sz w:val="21"/>
                <w:szCs w:val="21"/>
                <w:highlight w:val="none"/>
                <w:vertAlign w:val="baseline"/>
                <w:lang w:val="en-US" w:eastAsia="zh-CN" w:bidi="ar-SA"/>
              </w:rPr>
            </w:pPr>
            <w:r>
              <w:rPr>
                <w:rFonts w:hint="default" w:ascii="宋体" w:hAnsi="宋体" w:eastAsia="宋体" w:cs="宋体"/>
                <w:color w:val="auto"/>
                <w:kern w:val="0"/>
                <w:sz w:val="21"/>
                <w:szCs w:val="21"/>
                <w:highlight w:val="none"/>
                <w:vertAlign w:val="baseline"/>
                <w:lang w:val="en-US" w:eastAsia="zh-CN" w:bidi="ar-SA"/>
              </w:rPr>
              <w:t>3</w:t>
            </w:r>
          </w:p>
        </w:tc>
        <w:tc>
          <w:tcPr>
            <w:tcW w:w="2091" w:type="pct"/>
            <w:noWrap w:val="0"/>
            <w:vAlign w:val="center"/>
          </w:tcPr>
          <w:p w14:paraId="5D96DB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急停开关</w:t>
            </w:r>
          </w:p>
        </w:tc>
        <w:tc>
          <w:tcPr>
            <w:tcW w:w="2109" w:type="pct"/>
            <w:noWrap w:val="0"/>
            <w:vAlign w:val="center"/>
          </w:tcPr>
          <w:p w14:paraId="05B68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1"/>
                <w:szCs w:val="21"/>
                <w:highlight w:val="none"/>
                <w:vertAlign w:val="baseline"/>
                <w:lang w:val="en-US" w:eastAsia="zh-CN" w:bidi="ar-SA"/>
              </w:rPr>
            </w:pPr>
          </w:p>
        </w:tc>
      </w:tr>
      <w:tr w14:paraId="1312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pct"/>
            <w:noWrap w:val="0"/>
            <w:vAlign w:val="center"/>
          </w:tcPr>
          <w:p w14:paraId="2E6773B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center"/>
              <w:textAlignment w:val="auto"/>
              <w:rPr>
                <w:rFonts w:hint="default" w:ascii="宋体" w:hAnsi="宋体" w:eastAsia="宋体" w:cs="宋体"/>
                <w:color w:val="auto"/>
                <w:kern w:val="0"/>
                <w:sz w:val="21"/>
                <w:szCs w:val="21"/>
                <w:highlight w:val="none"/>
                <w:vertAlign w:val="baseline"/>
                <w:lang w:val="en-US" w:eastAsia="zh-CN" w:bidi="ar-SA"/>
              </w:rPr>
            </w:pPr>
            <w:r>
              <w:rPr>
                <w:rFonts w:hint="default" w:ascii="宋体" w:hAnsi="宋体" w:eastAsia="宋体" w:cs="宋体"/>
                <w:color w:val="auto"/>
                <w:kern w:val="0"/>
                <w:sz w:val="21"/>
                <w:szCs w:val="21"/>
                <w:highlight w:val="none"/>
                <w:vertAlign w:val="baseline"/>
                <w:lang w:val="en-US" w:eastAsia="zh-CN" w:bidi="ar-SA"/>
              </w:rPr>
              <w:t>4</w:t>
            </w:r>
          </w:p>
        </w:tc>
        <w:tc>
          <w:tcPr>
            <w:tcW w:w="2091" w:type="pct"/>
            <w:noWrap w:val="0"/>
            <w:vAlign w:val="center"/>
          </w:tcPr>
          <w:p w14:paraId="7C49C9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安全触板开关</w:t>
            </w:r>
          </w:p>
        </w:tc>
        <w:tc>
          <w:tcPr>
            <w:tcW w:w="2109" w:type="pct"/>
            <w:noWrap w:val="0"/>
            <w:vAlign w:val="center"/>
          </w:tcPr>
          <w:p w14:paraId="677578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1"/>
                <w:szCs w:val="21"/>
                <w:highlight w:val="none"/>
                <w:vertAlign w:val="baseline"/>
                <w:lang w:val="en-US" w:eastAsia="zh-CN" w:bidi="ar-SA"/>
              </w:rPr>
            </w:pPr>
          </w:p>
        </w:tc>
      </w:tr>
      <w:tr w14:paraId="1EA0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pct"/>
            <w:noWrap w:val="0"/>
            <w:vAlign w:val="center"/>
          </w:tcPr>
          <w:p w14:paraId="46DD9E0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center"/>
              <w:textAlignment w:val="auto"/>
              <w:rPr>
                <w:rFonts w:hint="default" w:ascii="宋体" w:hAnsi="宋体" w:eastAsia="宋体" w:cs="宋体"/>
                <w:color w:val="auto"/>
                <w:kern w:val="0"/>
                <w:sz w:val="21"/>
                <w:szCs w:val="21"/>
                <w:highlight w:val="none"/>
                <w:vertAlign w:val="baseline"/>
                <w:lang w:val="en-US" w:eastAsia="zh-CN" w:bidi="ar-SA"/>
              </w:rPr>
            </w:pPr>
            <w:r>
              <w:rPr>
                <w:rFonts w:hint="default" w:ascii="宋体" w:hAnsi="宋体" w:eastAsia="宋体" w:cs="宋体"/>
                <w:color w:val="auto"/>
                <w:kern w:val="0"/>
                <w:sz w:val="21"/>
                <w:szCs w:val="21"/>
                <w:highlight w:val="none"/>
                <w:vertAlign w:val="baseline"/>
                <w:lang w:val="en-US" w:eastAsia="zh-CN" w:bidi="ar-SA"/>
              </w:rPr>
              <w:t>5</w:t>
            </w:r>
          </w:p>
        </w:tc>
        <w:tc>
          <w:tcPr>
            <w:tcW w:w="2091" w:type="pct"/>
            <w:noWrap w:val="0"/>
            <w:vAlign w:val="center"/>
          </w:tcPr>
          <w:p w14:paraId="3F703F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行程开关</w:t>
            </w:r>
          </w:p>
        </w:tc>
        <w:tc>
          <w:tcPr>
            <w:tcW w:w="2109" w:type="pct"/>
            <w:noWrap w:val="0"/>
            <w:vAlign w:val="center"/>
          </w:tcPr>
          <w:p w14:paraId="7625C4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1"/>
                <w:szCs w:val="21"/>
                <w:highlight w:val="none"/>
                <w:vertAlign w:val="baseline"/>
                <w:lang w:val="en-US" w:eastAsia="zh-CN" w:bidi="ar-SA"/>
              </w:rPr>
            </w:pPr>
          </w:p>
        </w:tc>
      </w:tr>
      <w:tr w14:paraId="4138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pct"/>
            <w:noWrap w:val="0"/>
            <w:vAlign w:val="center"/>
          </w:tcPr>
          <w:p w14:paraId="7A91D04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center"/>
              <w:textAlignment w:val="auto"/>
              <w:rPr>
                <w:rFonts w:hint="default" w:ascii="宋体" w:hAnsi="宋体" w:eastAsia="宋体" w:cs="宋体"/>
                <w:color w:val="auto"/>
                <w:kern w:val="0"/>
                <w:sz w:val="21"/>
                <w:szCs w:val="21"/>
                <w:highlight w:val="none"/>
                <w:vertAlign w:val="baseline"/>
                <w:lang w:val="en-US" w:eastAsia="zh-CN" w:bidi="ar-SA"/>
              </w:rPr>
            </w:pPr>
            <w:r>
              <w:rPr>
                <w:rFonts w:hint="default" w:ascii="宋体" w:hAnsi="宋体" w:eastAsia="宋体" w:cs="宋体"/>
                <w:color w:val="auto"/>
                <w:kern w:val="0"/>
                <w:sz w:val="21"/>
                <w:szCs w:val="21"/>
                <w:highlight w:val="none"/>
                <w:vertAlign w:val="baseline"/>
                <w:lang w:val="en-US" w:eastAsia="zh-CN" w:bidi="ar-SA"/>
              </w:rPr>
              <w:t>6</w:t>
            </w:r>
          </w:p>
        </w:tc>
        <w:tc>
          <w:tcPr>
            <w:tcW w:w="2091" w:type="pct"/>
            <w:noWrap w:val="0"/>
            <w:vAlign w:val="center"/>
          </w:tcPr>
          <w:p w14:paraId="4F8949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绕线电阻RSH</w:t>
            </w:r>
          </w:p>
        </w:tc>
        <w:tc>
          <w:tcPr>
            <w:tcW w:w="2109" w:type="pct"/>
            <w:noWrap w:val="0"/>
            <w:vAlign w:val="center"/>
          </w:tcPr>
          <w:p w14:paraId="0BFC42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1"/>
                <w:szCs w:val="21"/>
                <w:highlight w:val="none"/>
                <w:vertAlign w:val="baseline"/>
                <w:lang w:val="en-US" w:eastAsia="zh-CN" w:bidi="ar-SA"/>
              </w:rPr>
            </w:pPr>
          </w:p>
        </w:tc>
      </w:tr>
      <w:tr w14:paraId="5460C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pct"/>
            <w:noWrap w:val="0"/>
            <w:vAlign w:val="center"/>
          </w:tcPr>
          <w:p w14:paraId="6DDF0E4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center"/>
              <w:textAlignment w:val="auto"/>
              <w:rPr>
                <w:rFonts w:hint="default" w:ascii="宋体" w:hAnsi="宋体" w:eastAsia="宋体" w:cs="宋体"/>
                <w:color w:val="auto"/>
                <w:kern w:val="0"/>
                <w:sz w:val="21"/>
                <w:szCs w:val="21"/>
                <w:highlight w:val="none"/>
                <w:vertAlign w:val="baseline"/>
                <w:lang w:val="en-US" w:eastAsia="zh-CN" w:bidi="ar-SA"/>
              </w:rPr>
            </w:pPr>
            <w:r>
              <w:rPr>
                <w:rFonts w:hint="default" w:ascii="宋体" w:hAnsi="宋体" w:eastAsia="宋体" w:cs="宋体"/>
                <w:color w:val="auto"/>
                <w:kern w:val="0"/>
                <w:sz w:val="21"/>
                <w:szCs w:val="21"/>
                <w:highlight w:val="none"/>
                <w:vertAlign w:val="baseline"/>
                <w:lang w:val="en-US" w:eastAsia="zh-CN" w:bidi="ar-SA"/>
              </w:rPr>
              <w:t>7</w:t>
            </w:r>
          </w:p>
        </w:tc>
        <w:tc>
          <w:tcPr>
            <w:tcW w:w="2091" w:type="pct"/>
            <w:noWrap w:val="0"/>
            <w:vAlign w:val="center"/>
          </w:tcPr>
          <w:p w14:paraId="5F6E2C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缓冲器开关</w:t>
            </w:r>
          </w:p>
        </w:tc>
        <w:tc>
          <w:tcPr>
            <w:tcW w:w="2109" w:type="pct"/>
            <w:noWrap w:val="0"/>
            <w:vAlign w:val="center"/>
          </w:tcPr>
          <w:p w14:paraId="7B3004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1"/>
                <w:szCs w:val="21"/>
                <w:highlight w:val="none"/>
                <w:vertAlign w:val="baseline"/>
                <w:lang w:val="en-US" w:eastAsia="zh-CN" w:bidi="ar-SA"/>
              </w:rPr>
            </w:pPr>
          </w:p>
        </w:tc>
      </w:tr>
      <w:tr w14:paraId="150D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pct"/>
            <w:noWrap w:val="0"/>
            <w:vAlign w:val="center"/>
          </w:tcPr>
          <w:p w14:paraId="16B78E7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center"/>
              <w:textAlignment w:val="auto"/>
              <w:rPr>
                <w:rFonts w:hint="default" w:ascii="宋体" w:hAnsi="宋体" w:eastAsia="宋体" w:cs="宋体"/>
                <w:color w:val="auto"/>
                <w:kern w:val="0"/>
                <w:sz w:val="21"/>
                <w:szCs w:val="21"/>
                <w:highlight w:val="none"/>
                <w:vertAlign w:val="baseline"/>
                <w:lang w:val="en-US" w:eastAsia="zh-CN" w:bidi="ar-SA"/>
              </w:rPr>
            </w:pPr>
            <w:r>
              <w:rPr>
                <w:rFonts w:hint="default" w:ascii="宋体" w:hAnsi="宋体" w:eastAsia="宋体" w:cs="宋体"/>
                <w:color w:val="auto"/>
                <w:kern w:val="0"/>
                <w:sz w:val="21"/>
                <w:szCs w:val="21"/>
                <w:highlight w:val="none"/>
                <w:vertAlign w:val="baseline"/>
                <w:lang w:val="en-US" w:eastAsia="zh-CN" w:bidi="ar-SA"/>
              </w:rPr>
              <w:t>8</w:t>
            </w:r>
          </w:p>
        </w:tc>
        <w:tc>
          <w:tcPr>
            <w:tcW w:w="2091" w:type="pct"/>
            <w:noWrap w:val="0"/>
            <w:vAlign w:val="center"/>
          </w:tcPr>
          <w:p w14:paraId="31C1A4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厅门钢丝绳</w:t>
            </w:r>
          </w:p>
        </w:tc>
        <w:tc>
          <w:tcPr>
            <w:tcW w:w="2109" w:type="pct"/>
            <w:noWrap w:val="0"/>
            <w:vAlign w:val="center"/>
          </w:tcPr>
          <w:p w14:paraId="192A28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1"/>
                <w:szCs w:val="21"/>
                <w:highlight w:val="none"/>
                <w:vertAlign w:val="baseline"/>
                <w:lang w:val="en-US" w:eastAsia="zh-CN" w:bidi="ar-SA"/>
              </w:rPr>
            </w:pPr>
          </w:p>
        </w:tc>
      </w:tr>
      <w:tr w14:paraId="0247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pct"/>
            <w:noWrap w:val="0"/>
            <w:vAlign w:val="center"/>
          </w:tcPr>
          <w:p w14:paraId="4F0E0A5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center"/>
              <w:textAlignment w:val="auto"/>
              <w:rPr>
                <w:rFonts w:hint="default" w:ascii="宋体" w:hAnsi="宋体" w:eastAsia="宋体" w:cs="宋体"/>
                <w:color w:val="auto"/>
                <w:kern w:val="0"/>
                <w:sz w:val="21"/>
                <w:szCs w:val="21"/>
                <w:highlight w:val="none"/>
                <w:vertAlign w:val="baseline"/>
                <w:lang w:val="en-US" w:eastAsia="zh-CN" w:bidi="ar-SA"/>
              </w:rPr>
            </w:pPr>
            <w:r>
              <w:rPr>
                <w:rFonts w:hint="default" w:ascii="宋体" w:hAnsi="宋体" w:eastAsia="宋体" w:cs="宋体"/>
                <w:color w:val="auto"/>
                <w:kern w:val="0"/>
                <w:sz w:val="21"/>
                <w:szCs w:val="21"/>
                <w:highlight w:val="none"/>
                <w:vertAlign w:val="baseline"/>
                <w:lang w:val="en-US" w:eastAsia="zh-CN" w:bidi="ar-SA"/>
              </w:rPr>
              <w:t>9</w:t>
            </w:r>
          </w:p>
        </w:tc>
        <w:tc>
          <w:tcPr>
            <w:tcW w:w="2091" w:type="pct"/>
            <w:noWrap w:val="0"/>
            <w:vAlign w:val="center"/>
          </w:tcPr>
          <w:p w14:paraId="2DB313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轿门钢丝绳</w:t>
            </w:r>
          </w:p>
        </w:tc>
        <w:tc>
          <w:tcPr>
            <w:tcW w:w="2109" w:type="pct"/>
            <w:noWrap w:val="0"/>
            <w:vAlign w:val="center"/>
          </w:tcPr>
          <w:p w14:paraId="3694AC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1"/>
                <w:szCs w:val="21"/>
                <w:highlight w:val="none"/>
                <w:vertAlign w:val="baseline"/>
                <w:lang w:val="en-US" w:eastAsia="zh-CN" w:bidi="ar-SA"/>
              </w:rPr>
            </w:pPr>
          </w:p>
        </w:tc>
      </w:tr>
      <w:tr w14:paraId="1BDE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pct"/>
            <w:noWrap w:val="0"/>
            <w:vAlign w:val="center"/>
          </w:tcPr>
          <w:p w14:paraId="6223C0F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center"/>
              <w:textAlignment w:val="auto"/>
              <w:rPr>
                <w:rFonts w:hint="default" w:ascii="宋体" w:hAnsi="宋体" w:eastAsia="宋体" w:cs="宋体"/>
                <w:color w:val="auto"/>
                <w:kern w:val="0"/>
                <w:sz w:val="21"/>
                <w:szCs w:val="21"/>
                <w:highlight w:val="none"/>
                <w:vertAlign w:val="baseline"/>
                <w:lang w:val="en-US" w:eastAsia="zh-CN" w:bidi="ar-SA"/>
              </w:rPr>
            </w:pPr>
            <w:r>
              <w:rPr>
                <w:rFonts w:hint="default" w:ascii="宋体" w:hAnsi="宋体" w:eastAsia="宋体" w:cs="宋体"/>
                <w:color w:val="auto"/>
                <w:kern w:val="0"/>
                <w:sz w:val="21"/>
                <w:szCs w:val="21"/>
                <w:highlight w:val="none"/>
                <w:vertAlign w:val="baseline"/>
                <w:lang w:val="en-US" w:eastAsia="zh-CN" w:bidi="ar-SA"/>
              </w:rPr>
              <w:t>10</w:t>
            </w:r>
          </w:p>
        </w:tc>
        <w:tc>
          <w:tcPr>
            <w:tcW w:w="2091" w:type="pct"/>
            <w:noWrap w:val="0"/>
            <w:vAlign w:val="center"/>
          </w:tcPr>
          <w:p w14:paraId="0DA909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凸轮开关</w:t>
            </w:r>
          </w:p>
        </w:tc>
        <w:tc>
          <w:tcPr>
            <w:tcW w:w="2109" w:type="pct"/>
            <w:noWrap w:val="0"/>
            <w:vAlign w:val="center"/>
          </w:tcPr>
          <w:p w14:paraId="6DC3EB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1"/>
                <w:szCs w:val="21"/>
                <w:highlight w:val="none"/>
                <w:vertAlign w:val="baseline"/>
                <w:lang w:val="en-US" w:eastAsia="zh-CN" w:bidi="ar-SA"/>
              </w:rPr>
            </w:pPr>
          </w:p>
        </w:tc>
      </w:tr>
      <w:tr w14:paraId="4071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pct"/>
            <w:noWrap w:val="0"/>
            <w:vAlign w:val="center"/>
          </w:tcPr>
          <w:p w14:paraId="6B668AA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default" w:ascii="宋体" w:hAnsi="宋体" w:eastAsia="宋体" w:cs="宋体"/>
                <w:color w:val="auto"/>
                <w:kern w:val="0"/>
                <w:sz w:val="21"/>
                <w:szCs w:val="21"/>
                <w:highlight w:val="none"/>
                <w:vertAlign w:val="baseline"/>
                <w:lang w:val="en-US" w:eastAsia="zh-CN" w:bidi="ar-SA"/>
              </w:rPr>
              <w:t>11</w:t>
            </w:r>
          </w:p>
        </w:tc>
        <w:tc>
          <w:tcPr>
            <w:tcW w:w="2091" w:type="pct"/>
            <w:noWrap w:val="0"/>
            <w:vAlign w:val="center"/>
          </w:tcPr>
          <w:p w14:paraId="594226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保险丝</w:t>
            </w:r>
          </w:p>
        </w:tc>
        <w:tc>
          <w:tcPr>
            <w:tcW w:w="2109" w:type="pct"/>
            <w:noWrap w:val="0"/>
            <w:vAlign w:val="center"/>
          </w:tcPr>
          <w:p w14:paraId="24DCC8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1"/>
                <w:szCs w:val="21"/>
                <w:highlight w:val="none"/>
                <w:vertAlign w:val="baseline"/>
                <w:lang w:val="en-US" w:eastAsia="zh-CN" w:bidi="ar-SA"/>
              </w:rPr>
            </w:pPr>
          </w:p>
        </w:tc>
      </w:tr>
      <w:tr w14:paraId="2206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pct"/>
            <w:noWrap w:val="0"/>
            <w:vAlign w:val="center"/>
          </w:tcPr>
          <w:p w14:paraId="091CFEC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default" w:ascii="宋体" w:hAnsi="宋体" w:eastAsia="宋体" w:cs="宋体"/>
                <w:color w:val="auto"/>
                <w:kern w:val="0"/>
                <w:sz w:val="21"/>
                <w:szCs w:val="21"/>
                <w:highlight w:val="none"/>
                <w:vertAlign w:val="baseline"/>
                <w:lang w:val="en-US" w:eastAsia="zh-CN" w:bidi="ar-SA"/>
              </w:rPr>
              <w:t>12</w:t>
            </w:r>
          </w:p>
        </w:tc>
        <w:tc>
          <w:tcPr>
            <w:tcW w:w="2091" w:type="pct"/>
            <w:noWrap w:val="0"/>
            <w:vAlign w:val="center"/>
          </w:tcPr>
          <w:p w14:paraId="17ECAF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选层器动触头</w:t>
            </w:r>
          </w:p>
        </w:tc>
        <w:tc>
          <w:tcPr>
            <w:tcW w:w="2109" w:type="pct"/>
            <w:noWrap w:val="0"/>
            <w:vAlign w:val="center"/>
          </w:tcPr>
          <w:p w14:paraId="46E78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1"/>
                <w:szCs w:val="21"/>
                <w:highlight w:val="none"/>
                <w:vertAlign w:val="baseline"/>
                <w:lang w:val="en-US" w:eastAsia="zh-CN" w:bidi="ar-SA"/>
              </w:rPr>
            </w:pPr>
          </w:p>
        </w:tc>
      </w:tr>
      <w:tr w14:paraId="0CA0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pct"/>
            <w:noWrap w:val="0"/>
            <w:vAlign w:val="center"/>
          </w:tcPr>
          <w:p w14:paraId="2E4FC58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default" w:ascii="宋体" w:hAnsi="宋体" w:eastAsia="宋体" w:cs="宋体"/>
                <w:color w:val="auto"/>
                <w:kern w:val="0"/>
                <w:sz w:val="21"/>
                <w:szCs w:val="21"/>
                <w:highlight w:val="none"/>
                <w:vertAlign w:val="baseline"/>
                <w:lang w:val="en-US" w:eastAsia="zh-CN" w:bidi="ar-SA"/>
              </w:rPr>
              <w:t>13</w:t>
            </w:r>
          </w:p>
        </w:tc>
        <w:tc>
          <w:tcPr>
            <w:tcW w:w="2091" w:type="pct"/>
            <w:noWrap w:val="0"/>
            <w:vAlign w:val="center"/>
          </w:tcPr>
          <w:p w14:paraId="7AE3F7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接触器动触头</w:t>
            </w:r>
          </w:p>
        </w:tc>
        <w:tc>
          <w:tcPr>
            <w:tcW w:w="2109" w:type="pct"/>
            <w:noWrap w:val="0"/>
            <w:vAlign w:val="center"/>
          </w:tcPr>
          <w:p w14:paraId="7A2FFB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1"/>
                <w:szCs w:val="21"/>
                <w:highlight w:val="none"/>
                <w:vertAlign w:val="baseline"/>
                <w:lang w:val="en-US" w:eastAsia="zh-CN" w:bidi="ar-SA"/>
              </w:rPr>
            </w:pPr>
          </w:p>
        </w:tc>
      </w:tr>
      <w:tr w14:paraId="6435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pct"/>
            <w:noWrap w:val="0"/>
            <w:vAlign w:val="center"/>
          </w:tcPr>
          <w:p w14:paraId="11BFCC9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default" w:ascii="宋体" w:hAnsi="宋体" w:eastAsia="宋体" w:cs="宋体"/>
                <w:color w:val="auto"/>
                <w:kern w:val="0"/>
                <w:sz w:val="21"/>
                <w:szCs w:val="21"/>
                <w:highlight w:val="none"/>
                <w:vertAlign w:val="baseline"/>
                <w:lang w:val="en-US" w:eastAsia="zh-CN" w:bidi="ar-SA"/>
              </w:rPr>
              <w:t>14</w:t>
            </w:r>
          </w:p>
        </w:tc>
        <w:tc>
          <w:tcPr>
            <w:tcW w:w="2091" w:type="pct"/>
            <w:noWrap w:val="0"/>
            <w:vAlign w:val="center"/>
          </w:tcPr>
          <w:p w14:paraId="149AF8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楼层显示灯泡</w:t>
            </w:r>
          </w:p>
        </w:tc>
        <w:tc>
          <w:tcPr>
            <w:tcW w:w="2109" w:type="pct"/>
            <w:noWrap w:val="0"/>
            <w:vAlign w:val="center"/>
          </w:tcPr>
          <w:p w14:paraId="32E2B4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1"/>
                <w:szCs w:val="21"/>
                <w:highlight w:val="none"/>
                <w:vertAlign w:val="baseline"/>
                <w:lang w:val="en-US" w:eastAsia="zh-CN" w:bidi="ar-SA"/>
              </w:rPr>
            </w:pPr>
          </w:p>
        </w:tc>
      </w:tr>
      <w:tr w14:paraId="6396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pct"/>
            <w:noWrap w:val="0"/>
            <w:vAlign w:val="center"/>
          </w:tcPr>
          <w:p w14:paraId="39A6CCF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default" w:ascii="宋体" w:hAnsi="宋体" w:eastAsia="宋体" w:cs="宋体"/>
                <w:color w:val="auto"/>
                <w:kern w:val="0"/>
                <w:sz w:val="21"/>
                <w:szCs w:val="21"/>
                <w:highlight w:val="none"/>
                <w:vertAlign w:val="baseline"/>
                <w:lang w:val="en-US" w:eastAsia="zh-CN" w:bidi="ar-SA"/>
              </w:rPr>
              <w:t>15</w:t>
            </w:r>
          </w:p>
        </w:tc>
        <w:tc>
          <w:tcPr>
            <w:tcW w:w="2091" w:type="pct"/>
            <w:noWrap w:val="0"/>
            <w:vAlign w:val="center"/>
          </w:tcPr>
          <w:p w14:paraId="20FE31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电容</w:t>
            </w:r>
          </w:p>
        </w:tc>
        <w:tc>
          <w:tcPr>
            <w:tcW w:w="2109" w:type="pct"/>
            <w:noWrap w:val="0"/>
            <w:vAlign w:val="center"/>
          </w:tcPr>
          <w:p w14:paraId="5DA5BB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1"/>
                <w:szCs w:val="21"/>
                <w:highlight w:val="none"/>
                <w:vertAlign w:val="baseline"/>
                <w:lang w:val="en-US" w:eastAsia="zh-CN" w:bidi="ar-SA"/>
              </w:rPr>
            </w:pPr>
          </w:p>
        </w:tc>
      </w:tr>
      <w:tr w14:paraId="4B2B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pct"/>
            <w:noWrap w:val="0"/>
            <w:vAlign w:val="center"/>
          </w:tcPr>
          <w:p w14:paraId="1880005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default" w:ascii="宋体" w:hAnsi="宋体" w:eastAsia="宋体" w:cs="宋体"/>
                <w:color w:val="auto"/>
                <w:kern w:val="0"/>
                <w:sz w:val="21"/>
                <w:szCs w:val="21"/>
                <w:highlight w:val="none"/>
                <w:vertAlign w:val="baseline"/>
                <w:lang w:val="en-US" w:eastAsia="zh-CN" w:bidi="ar-SA"/>
              </w:rPr>
              <w:t>16</w:t>
            </w:r>
          </w:p>
        </w:tc>
        <w:tc>
          <w:tcPr>
            <w:tcW w:w="2091" w:type="pct"/>
            <w:noWrap w:val="0"/>
            <w:vAlign w:val="center"/>
          </w:tcPr>
          <w:p w14:paraId="4CD29B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限速器开关</w:t>
            </w:r>
          </w:p>
        </w:tc>
        <w:tc>
          <w:tcPr>
            <w:tcW w:w="2109" w:type="pct"/>
            <w:noWrap w:val="0"/>
            <w:vAlign w:val="center"/>
          </w:tcPr>
          <w:p w14:paraId="190E69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1"/>
                <w:szCs w:val="21"/>
                <w:highlight w:val="none"/>
                <w:vertAlign w:val="baseline"/>
                <w:lang w:val="en-US" w:eastAsia="zh-CN" w:bidi="ar-SA"/>
              </w:rPr>
            </w:pPr>
          </w:p>
        </w:tc>
      </w:tr>
      <w:tr w14:paraId="1497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pct"/>
            <w:noWrap w:val="0"/>
            <w:vAlign w:val="center"/>
          </w:tcPr>
          <w:p w14:paraId="6DB1AD0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default" w:ascii="宋体" w:hAnsi="宋体" w:eastAsia="宋体" w:cs="宋体"/>
                <w:color w:val="auto"/>
                <w:kern w:val="0"/>
                <w:sz w:val="21"/>
                <w:szCs w:val="21"/>
                <w:highlight w:val="none"/>
                <w:vertAlign w:val="baseline"/>
                <w:lang w:val="en-US" w:eastAsia="zh-CN" w:bidi="ar-SA"/>
              </w:rPr>
              <w:t>17</w:t>
            </w:r>
          </w:p>
        </w:tc>
        <w:tc>
          <w:tcPr>
            <w:tcW w:w="2091" w:type="pct"/>
            <w:noWrap w:val="0"/>
            <w:vAlign w:val="center"/>
          </w:tcPr>
          <w:p w14:paraId="48E2A3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电子开关</w:t>
            </w:r>
          </w:p>
        </w:tc>
        <w:tc>
          <w:tcPr>
            <w:tcW w:w="2109" w:type="pct"/>
            <w:noWrap w:val="0"/>
            <w:vAlign w:val="center"/>
          </w:tcPr>
          <w:p w14:paraId="59D64C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1"/>
                <w:szCs w:val="21"/>
                <w:highlight w:val="none"/>
                <w:vertAlign w:val="baseline"/>
                <w:lang w:val="en-US" w:eastAsia="zh-CN" w:bidi="ar-SA"/>
              </w:rPr>
            </w:pPr>
          </w:p>
        </w:tc>
      </w:tr>
      <w:tr w14:paraId="0609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pct"/>
            <w:noWrap w:val="0"/>
            <w:vAlign w:val="center"/>
          </w:tcPr>
          <w:p w14:paraId="308F785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default" w:ascii="宋体" w:hAnsi="宋体" w:eastAsia="宋体" w:cs="宋体"/>
                <w:color w:val="auto"/>
                <w:kern w:val="0"/>
                <w:sz w:val="21"/>
                <w:szCs w:val="21"/>
                <w:highlight w:val="none"/>
                <w:vertAlign w:val="baseline"/>
                <w:lang w:val="en-US" w:eastAsia="zh-CN" w:bidi="ar-SA"/>
              </w:rPr>
              <w:t>18</w:t>
            </w:r>
          </w:p>
        </w:tc>
        <w:tc>
          <w:tcPr>
            <w:tcW w:w="2091" w:type="pct"/>
            <w:noWrap w:val="0"/>
            <w:vAlign w:val="center"/>
          </w:tcPr>
          <w:p w14:paraId="721C09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运行接触器辅助触头</w:t>
            </w:r>
          </w:p>
        </w:tc>
        <w:tc>
          <w:tcPr>
            <w:tcW w:w="2109" w:type="pct"/>
            <w:noWrap w:val="0"/>
            <w:vAlign w:val="center"/>
          </w:tcPr>
          <w:p w14:paraId="03442D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1"/>
                <w:szCs w:val="21"/>
                <w:highlight w:val="none"/>
                <w:vertAlign w:val="baseline"/>
                <w:lang w:val="en-US" w:eastAsia="zh-CN" w:bidi="ar-SA"/>
              </w:rPr>
            </w:pPr>
          </w:p>
        </w:tc>
      </w:tr>
      <w:tr w14:paraId="5636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pct"/>
            <w:noWrap w:val="0"/>
            <w:vAlign w:val="center"/>
          </w:tcPr>
          <w:p w14:paraId="1C8544D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default" w:ascii="宋体" w:hAnsi="宋体" w:eastAsia="宋体" w:cs="宋体"/>
                <w:color w:val="auto"/>
                <w:kern w:val="0"/>
                <w:sz w:val="21"/>
                <w:szCs w:val="21"/>
                <w:highlight w:val="none"/>
                <w:vertAlign w:val="baseline"/>
                <w:lang w:val="en-US" w:eastAsia="zh-CN" w:bidi="ar-SA"/>
              </w:rPr>
              <w:t>19</w:t>
            </w:r>
          </w:p>
        </w:tc>
        <w:tc>
          <w:tcPr>
            <w:tcW w:w="2091" w:type="pct"/>
            <w:noWrap w:val="0"/>
            <w:vAlign w:val="center"/>
          </w:tcPr>
          <w:p w14:paraId="014697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对讲机电池</w:t>
            </w:r>
          </w:p>
        </w:tc>
        <w:tc>
          <w:tcPr>
            <w:tcW w:w="2109" w:type="pct"/>
            <w:noWrap w:val="0"/>
            <w:vAlign w:val="center"/>
          </w:tcPr>
          <w:p w14:paraId="637683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1"/>
                <w:szCs w:val="21"/>
                <w:highlight w:val="none"/>
                <w:vertAlign w:val="baseline"/>
                <w:lang w:val="en-US" w:eastAsia="zh-CN" w:bidi="ar-SA"/>
              </w:rPr>
            </w:pPr>
          </w:p>
        </w:tc>
      </w:tr>
      <w:tr w14:paraId="204C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pct"/>
            <w:noWrap w:val="0"/>
            <w:vAlign w:val="center"/>
          </w:tcPr>
          <w:p w14:paraId="2B2C06C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default" w:ascii="宋体" w:hAnsi="宋体" w:eastAsia="宋体" w:cs="宋体"/>
                <w:color w:val="auto"/>
                <w:kern w:val="0"/>
                <w:sz w:val="21"/>
                <w:szCs w:val="21"/>
                <w:highlight w:val="none"/>
                <w:vertAlign w:val="baseline"/>
                <w:lang w:val="en-US" w:eastAsia="zh-CN" w:bidi="ar-SA"/>
              </w:rPr>
              <w:t>20</w:t>
            </w:r>
          </w:p>
        </w:tc>
        <w:tc>
          <w:tcPr>
            <w:tcW w:w="2091" w:type="pct"/>
            <w:noWrap w:val="0"/>
            <w:vAlign w:val="center"/>
          </w:tcPr>
          <w:p w14:paraId="36E6FC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厅门自闭弹簧</w:t>
            </w:r>
          </w:p>
        </w:tc>
        <w:tc>
          <w:tcPr>
            <w:tcW w:w="2109" w:type="pct"/>
            <w:noWrap w:val="0"/>
            <w:vAlign w:val="center"/>
          </w:tcPr>
          <w:p w14:paraId="72F57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1"/>
                <w:szCs w:val="21"/>
                <w:highlight w:val="none"/>
                <w:vertAlign w:val="baseline"/>
                <w:lang w:val="en-US" w:eastAsia="zh-CN" w:bidi="ar-SA"/>
              </w:rPr>
            </w:pPr>
          </w:p>
        </w:tc>
      </w:tr>
      <w:tr w14:paraId="2C3B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pct"/>
            <w:noWrap w:val="0"/>
            <w:vAlign w:val="center"/>
          </w:tcPr>
          <w:p w14:paraId="6F18898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default" w:ascii="宋体" w:hAnsi="宋体" w:eastAsia="宋体" w:cs="宋体"/>
                <w:color w:val="auto"/>
                <w:kern w:val="0"/>
                <w:sz w:val="21"/>
                <w:szCs w:val="21"/>
                <w:highlight w:val="none"/>
                <w:vertAlign w:val="baseline"/>
                <w:lang w:val="en-US" w:eastAsia="zh-CN" w:bidi="ar-SA"/>
              </w:rPr>
              <w:t>21</w:t>
            </w:r>
          </w:p>
        </w:tc>
        <w:tc>
          <w:tcPr>
            <w:tcW w:w="2091" w:type="pct"/>
            <w:noWrap w:val="0"/>
            <w:vAlign w:val="center"/>
          </w:tcPr>
          <w:p w14:paraId="700790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底坑限速器开关</w:t>
            </w:r>
          </w:p>
        </w:tc>
        <w:tc>
          <w:tcPr>
            <w:tcW w:w="2109" w:type="pct"/>
            <w:noWrap w:val="0"/>
            <w:vAlign w:val="center"/>
          </w:tcPr>
          <w:p w14:paraId="67F54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1"/>
                <w:szCs w:val="21"/>
                <w:highlight w:val="none"/>
                <w:vertAlign w:val="baseline"/>
                <w:lang w:val="en-US" w:eastAsia="zh-CN" w:bidi="ar-SA"/>
              </w:rPr>
            </w:pPr>
          </w:p>
        </w:tc>
      </w:tr>
      <w:tr w14:paraId="2E21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pct"/>
            <w:noWrap w:val="0"/>
            <w:vAlign w:val="center"/>
          </w:tcPr>
          <w:p w14:paraId="10B3B4E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default" w:ascii="宋体" w:hAnsi="宋体" w:eastAsia="宋体" w:cs="宋体"/>
                <w:color w:val="auto"/>
                <w:kern w:val="0"/>
                <w:sz w:val="21"/>
                <w:szCs w:val="21"/>
                <w:highlight w:val="none"/>
                <w:vertAlign w:val="baseline"/>
                <w:lang w:val="en-US" w:eastAsia="zh-CN" w:bidi="ar-SA"/>
              </w:rPr>
              <w:t>22</w:t>
            </w:r>
          </w:p>
        </w:tc>
        <w:tc>
          <w:tcPr>
            <w:tcW w:w="2091" w:type="pct"/>
            <w:noWrap w:val="0"/>
            <w:vAlign w:val="center"/>
          </w:tcPr>
          <w:p w14:paraId="4D4CF2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安全灯泡</w:t>
            </w:r>
          </w:p>
        </w:tc>
        <w:tc>
          <w:tcPr>
            <w:tcW w:w="2109" w:type="pct"/>
            <w:noWrap w:val="0"/>
            <w:vAlign w:val="center"/>
          </w:tcPr>
          <w:p w14:paraId="6A5D3E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1"/>
                <w:szCs w:val="21"/>
                <w:highlight w:val="none"/>
                <w:vertAlign w:val="baseline"/>
                <w:lang w:val="en-US" w:eastAsia="zh-CN" w:bidi="ar-SA"/>
              </w:rPr>
            </w:pPr>
          </w:p>
        </w:tc>
      </w:tr>
      <w:tr w14:paraId="764B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pct"/>
            <w:noWrap w:val="0"/>
            <w:vAlign w:val="center"/>
          </w:tcPr>
          <w:p w14:paraId="71CA157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default" w:ascii="宋体" w:hAnsi="宋体" w:eastAsia="宋体" w:cs="宋体"/>
                <w:color w:val="auto"/>
                <w:kern w:val="0"/>
                <w:sz w:val="21"/>
                <w:szCs w:val="21"/>
                <w:highlight w:val="none"/>
                <w:vertAlign w:val="baseline"/>
                <w:lang w:val="en-US" w:eastAsia="zh-CN" w:bidi="ar-SA"/>
              </w:rPr>
              <w:t>23</w:t>
            </w:r>
          </w:p>
        </w:tc>
        <w:tc>
          <w:tcPr>
            <w:tcW w:w="2091" w:type="pct"/>
            <w:noWrap w:val="0"/>
            <w:vAlign w:val="center"/>
          </w:tcPr>
          <w:p w14:paraId="679B5D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桥堆</w:t>
            </w:r>
          </w:p>
        </w:tc>
        <w:tc>
          <w:tcPr>
            <w:tcW w:w="2109" w:type="pct"/>
            <w:noWrap w:val="0"/>
            <w:vAlign w:val="center"/>
          </w:tcPr>
          <w:p w14:paraId="7DFC4F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1"/>
                <w:szCs w:val="21"/>
                <w:highlight w:val="none"/>
                <w:vertAlign w:val="baseline"/>
                <w:lang w:val="en-US" w:eastAsia="zh-CN" w:bidi="ar-SA"/>
              </w:rPr>
            </w:pPr>
          </w:p>
        </w:tc>
      </w:tr>
      <w:tr w14:paraId="5570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pct"/>
            <w:noWrap w:val="0"/>
            <w:vAlign w:val="center"/>
          </w:tcPr>
          <w:p w14:paraId="4301AAD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default" w:ascii="宋体" w:hAnsi="宋体" w:eastAsia="宋体" w:cs="宋体"/>
                <w:color w:val="auto"/>
                <w:kern w:val="0"/>
                <w:sz w:val="21"/>
                <w:szCs w:val="21"/>
                <w:highlight w:val="none"/>
                <w:vertAlign w:val="baseline"/>
                <w:lang w:val="en-US" w:eastAsia="zh-CN" w:bidi="ar-SA"/>
              </w:rPr>
              <w:t>24</w:t>
            </w:r>
          </w:p>
        </w:tc>
        <w:tc>
          <w:tcPr>
            <w:tcW w:w="2091" w:type="pct"/>
            <w:noWrap w:val="0"/>
            <w:vAlign w:val="center"/>
          </w:tcPr>
          <w:p w14:paraId="1D4E87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安全钳开关</w:t>
            </w:r>
          </w:p>
        </w:tc>
        <w:tc>
          <w:tcPr>
            <w:tcW w:w="2109" w:type="pct"/>
            <w:noWrap w:val="0"/>
            <w:vAlign w:val="center"/>
          </w:tcPr>
          <w:p w14:paraId="07A850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1"/>
                <w:szCs w:val="21"/>
                <w:highlight w:val="none"/>
                <w:vertAlign w:val="baseline"/>
                <w:lang w:val="en-US" w:eastAsia="zh-CN" w:bidi="ar-SA"/>
              </w:rPr>
            </w:pPr>
          </w:p>
        </w:tc>
      </w:tr>
      <w:tr w14:paraId="359A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pct"/>
            <w:noWrap w:val="0"/>
            <w:vAlign w:val="center"/>
          </w:tcPr>
          <w:p w14:paraId="098ED3B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default" w:ascii="宋体" w:hAnsi="宋体" w:eastAsia="宋体" w:cs="宋体"/>
                <w:color w:val="auto"/>
                <w:kern w:val="0"/>
                <w:sz w:val="21"/>
                <w:szCs w:val="21"/>
                <w:highlight w:val="none"/>
                <w:vertAlign w:val="baseline"/>
                <w:lang w:val="en-US" w:eastAsia="zh-CN" w:bidi="ar-SA"/>
              </w:rPr>
              <w:t>25</w:t>
            </w:r>
          </w:p>
        </w:tc>
        <w:tc>
          <w:tcPr>
            <w:tcW w:w="2091" w:type="pct"/>
            <w:noWrap w:val="0"/>
            <w:vAlign w:val="center"/>
          </w:tcPr>
          <w:p w14:paraId="13C17D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厅门三角锁</w:t>
            </w:r>
          </w:p>
        </w:tc>
        <w:tc>
          <w:tcPr>
            <w:tcW w:w="2109" w:type="pct"/>
            <w:noWrap w:val="0"/>
            <w:vAlign w:val="center"/>
          </w:tcPr>
          <w:p w14:paraId="558ECA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1"/>
                <w:szCs w:val="21"/>
                <w:highlight w:val="none"/>
                <w:vertAlign w:val="baseline"/>
                <w:lang w:val="en-US" w:eastAsia="zh-CN" w:bidi="ar-SA"/>
              </w:rPr>
            </w:pPr>
          </w:p>
        </w:tc>
      </w:tr>
      <w:tr w14:paraId="24B9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pct"/>
            <w:noWrap w:val="0"/>
            <w:vAlign w:val="center"/>
          </w:tcPr>
          <w:p w14:paraId="0C5DCD4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rPr>
                <w:rFonts w:hint="default"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val="en-US" w:eastAsia="zh-CN" w:bidi="ar-SA"/>
              </w:rPr>
              <w:t>26</w:t>
            </w:r>
          </w:p>
        </w:tc>
        <w:tc>
          <w:tcPr>
            <w:tcW w:w="2091" w:type="pct"/>
            <w:noWrap w:val="0"/>
            <w:vAlign w:val="center"/>
          </w:tcPr>
          <w:p w14:paraId="38C7D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门滑块</w:t>
            </w:r>
          </w:p>
        </w:tc>
        <w:tc>
          <w:tcPr>
            <w:tcW w:w="2109" w:type="pct"/>
            <w:noWrap w:val="0"/>
            <w:vAlign w:val="center"/>
          </w:tcPr>
          <w:p w14:paraId="49B3DF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1"/>
                <w:szCs w:val="21"/>
                <w:highlight w:val="none"/>
                <w:vertAlign w:val="baseline"/>
                <w:lang w:val="en-US" w:eastAsia="zh-CN" w:bidi="ar-SA"/>
              </w:rPr>
            </w:pPr>
          </w:p>
        </w:tc>
      </w:tr>
    </w:tbl>
    <w:p w14:paraId="7936ECFD">
      <w:pPr>
        <w:rPr>
          <w:rFonts w:hint="eastAsia" w:asciiTheme="minorEastAsia" w:hAnsiTheme="minorEastAsia" w:eastAsiaTheme="minorEastAsia" w:cstheme="minorEastAsia"/>
          <w:color w:val="auto"/>
          <w:highlight w:val="none"/>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51E9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C62E6B">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C62E6B">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644B9">
    <w:pPr>
      <w:pStyle w:val="13"/>
      <w:pBdr>
        <w:bottom w:val="none" w:color="auto" w:sz="0" w:space="1"/>
      </w:pBdr>
      <w:jc w:val="left"/>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posOffset>2834640</wp:posOffset>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20DA853">
                          <w:pPr>
                            <w:pStyle w:val="13"/>
                          </w:pPr>
                        </w:p>
                      </w:txbxContent>
                    </wps:txbx>
                    <wps:bodyPr wrap="none" lIns="0" tIns="0" rIns="0" bIns="0" upright="0">
                      <a:spAutoFit/>
                    </wps:bodyPr>
                  </wps:wsp>
                </a:graphicData>
              </a:graphic>
            </wp:anchor>
          </w:drawing>
        </mc:Choice>
        <mc:Fallback>
          <w:pict>
            <v:shape id="_x0000_s1026" o:spid="_x0000_s1026" o:spt="202" type="#_x0000_t202" style="position:absolute;left:0pt;margin-left:223.2pt;margin-top:0pt;height:144pt;width:144pt;mso-position-horizontal-relative:margin;mso-wrap-style:none;z-index:251661312;mso-width-relative:page;mso-height-relative:page;" filled="f" stroked="f" coordsize="21600,21600" o:gfxdata="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aQQ2NcAAAAIAQAADwAAAAAAAAABACAAAAAi&#10;AAAAZHJzL2Rvd25yZXYueG1sUEsBAhQAFAAAAAgAh07iQE7hRpHSAQAAowMAAA4AAAAAAAAAAQAg&#10;AAAAJgEAAGRycy9lMm9Eb2MueG1sUEsFBgAAAAAGAAYAWQEAAGoFAAAAAA==&#10;">
              <v:fill on="f" focussize="0,0"/>
              <v:stroke on="f" weight="1.25pt"/>
              <v:imagedata o:title=""/>
              <o:lock v:ext="edit" aspectratio="f"/>
              <v:textbox inset="0mm,0mm,0mm,0mm" style="mso-fit-shape-to-text:t;">
                <w:txbxContent>
                  <w:p w14:paraId="120DA853">
                    <w:pPr>
                      <w:pStyle w:val="13"/>
                    </w:pPr>
                  </w:p>
                </w:txbxContent>
              </v:textbox>
            </v:shape>
          </w:pict>
        </mc:Fallback>
      </mc:AlternateContent>
    </w:r>
  </w:p>
  <w:p w14:paraId="5AC0FAD9">
    <w:pPr>
      <w:pStyle w:val="13"/>
      <w:pBdr>
        <w:bottom w:val="none" w:color="auto" w:sz="0" w:space="1"/>
      </w:pBdr>
      <w:tabs>
        <w:tab w:val="left" w:pos="0"/>
        <w:tab w:val="center" w:pos="9660"/>
        <w:tab w:val="clear" w:pos="4153"/>
        <w:tab w:val="clear" w:pos="8306"/>
      </w:tabs>
      <w:jc w:val="both"/>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73DCD34">
                          <w:pPr>
                            <w:pStyle w:val="1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473DCD34">
                    <w:pPr>
                      <w:pStyle w:val="13"/>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YmY4ODljZjQ3OGE1ODBhZDFiM2U4NzUxZTk3YzcifQ=="/>
  </w:docVars>
  <w:rsids>
    <w:rsidRoot w:val="00000000"/>
    <w:rsid w:val="03202E7F"/>
    <w:rsid w:val="039D069C"/>
    <w:rsid w:val="03F05280"/>
    <w:rsid w:val="05000505"/>
    <w:rsid w:val="051E5477"/>
    <w:rsid w:val="08761D5E"/>
    <w:rsid w:val="093E6D6C"/>
    <w:rsid w:val="097706BE"/>
    <w:rsid w:val="0AA86936"/>
    <w:rsid w:val="0C7072F8"/>
    <w:rsid w:val="0E620CFF"/>
    <w:rsid w:val="0F3D21CF"/>
    <w:rsid w:val="10283424"/>
    <w:rsid w:val="102E75E8"/>
    <w:rsid w:val="121651C3"/>
    <w:rsid w:val="145757D1"/>
    <w:rsid w:val="153061CF"/>
    <w:rsid w:val="1941544F"/>
    <w:rsid w:val="1A35577B"/>
    <w:rsid w:val="1ABC6D07"/>
    <w:rsid w:val="1AC11F06"/>
    <w:rsid w:val="1B682381"/>
    <w:rsid w:val="1C565A9C"/>
    <w:rsid w:val="1C9B6EDA"/>
    <w:rsid w:val="1DA52C8C"/>
    <w:rsid w:val="1DFB521C"/>
    <w:rsid w:val="1F275DC7"/>
    <w:rsid w:val="201975CD"/>
    <w:rsid w:val="20995601"/>
    <w:rsid w:val="20F841A8"/>
    <w:rsid w:val="240C7CFB"/>
    <w:rsid w:val="241E49BB"/>
    <w:rsid w:val="2509234F"/>
    <w:rsid w:val="25AE3087"/>
    <w:rsid w:val="26ED4B48"/>
    <w:rsid w:val="27460C19"/>
    <w:rsid w:val="2842027E"/>
    <w:rsid w:val="28F251DE"/>
    <w:rsid w:val="2A7F4FD4"/>
    <w:rsid w:val="2B71556F"/>
    <w:rsid w:val="2C282E5B"/>
    <w:rsid w:val="2ECF71F3"/>
    <w:rsid w:val="32614326"/>
    <w:rsid w:val="34BC2B93"/>
    <w:rsid w:val="35BA0ED0"/>
    <w:rsid w:val="367F5A70"/>
    <w:rsid w:val="389820A0"/>
    <w:rsid w:val="38C375DD"/>
    <w:rsid w:val="39317A23"/>
    <w:rsid w:val="3B384F32"/>
    <w:rsid w:val="3F1747B8"/>
    <w:rsid w:val="40861061"/>
    <w:rsid w:val="421E6D72"/>
    <w:rsid w:val="430844E7"/>
    <w:rsid w:val="43A54A0B"/>
    <w:rsid w:val="442838FD"/>
    <w:rsid w:val="49730CB7"/>
    <w:rsid w:val="49AF724A"/>
    <w:rsid w:val="49FE39F5"/>
    <w:rsid w:val="4BBA0128"/>
    <w:rsid w:val="4D5C533E"/>
    <w:rsid w:val="4F3A45BC"/>
    <w:rsid w:val="4F79248F"/>
    <w:rsid w:val="52091ADC"/>
    <w:rsid w:val="545B073D"/>
    <w:rsid w:val="54C8735F"/>
    <w:rsid w:val="576E0E53"/>
    <w:rsid w:val="5B921D60"/>
    <w:rsid w:val="5B9E7CEC"/>
    <w:rsid w:val="5C472023"/>
    <w:rsid w:val="5D264212"/>
    <w:rsid w:val="5E2B77D4"/>
    <w:rsid w:val="5E316983"/>
    <w:rsid w:val="5E663CBE"/>
    <w:rsid w:val="5FE65EE3"/>
    <w:rsid w:val="60AB41B8"/>
    <w:rsid w:val="65623A07"/>
    <w:rsid w:val="68E016CC"/>
    <w:rsid w:val="6BCF0ABE"/>
    <w:rsid w:val="6DA9638A"/>
    <w:rsid w:val="6E8C796A"/>
    <w:rsid w:val="6F457B85"/>
    <w:rsid w:val="72B963D9"/>
    <w:rsid w:val="776505B4"/>
    <w:rsid w:val="77F71B1C"/>
    <w:rsid w:val="7808268F"/>
    <w:rsid w:val="7B167A5E"/>
    <w:rsid w:val="7C283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imes New Roman" w:hAnsi="Times New Roman" w:eastAsia="宋体" w:cs="Times New Roman"/>
      <w:sz w:val="21"/>
      <w:lang w:val="en-US" w:eastAsia="zh-CN" w:bidi="ar-SA"/>
    </w:rPr>
  </w:style>
  <w:style w:type="paragraph" w:styleId="2">
    <w:name w:val="heading 1"/>
    <w:basedOn w:val="1"/>
    <w:next w:val="1"/>
    <w:autoRedefine/>
    <w:qFormat/>
    <w:uiPriority w:val="0"/>
    <w:pPr>
      <w:keepNext/>
      <w:keepLines/>
      <w:widowControl w:val="0"/>
      <w:tabs>
        <w:tab w:val="left" w:pos="840"/>
      </w:tabs>
      <w:adjustRightInd w:val="0"/>
      <w:snapToGrid w:val="0"/>
      <w:spacing w:line="360" w:lineRule="auto"/>
      <w:jc w:val="both"/>
      <w:outlineLvl w:val="0"/>
    </w:pPr>
    <w:rPr>
      <w:rFonts w:ascii="宋体" w:hAnsi="宋体"/>
      <w:b/>
      <w:kern w:val="44"/>
      <w:sz w:val="24"/>
    </w:rPr>
  </w:style>
  <w:style w:type="paragraph" w:styleId="3">
    <w:name w:val="heading 2"/>
    <w:basedOn w:val="1"/>
    <w:next w:val="1"/>
    <w:autoRedefine/>
    <w:qFormat/>
    <w:uiPriority w:val="0"/>
    <w:pPr>
      <w:keepNext/>
      <w:keepLines/>
      <w:spacing w:line="416" w:lineRule="auto"/>
      <w:outlineLvl w:val="1"/>
    </w:pPr>
    <w:rPr>
      <w:rFonts w:ascii="Arial" w:hAnsi="Arial" w:eastAsia="黑体"/>
      <w:b/>
      <w:bCs/>
      <w:sz w:val="32"/>
      <w:szCs w:val="32"/>
    </w:rPr>
  </w:style>
  <w:style w:type="paragraph" w:styleId="4">
    <w:name w:val="heading 4"/>
    <w:basedOn w:val="1"/>
    <w:next w:val="1"/>
    <w:autoRedefine/>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ind w:left="720"/>
    </w:pPr>
  </w:style>
  <w:style w:type="paragraph" w:styleId="6">
    <w:name w:val="annotation text"/>
    <w:basedOn w:val="1"/>
    <w:autoRedefine/>
    <w:qFormat/>
    <w:uiPriority w:val="0"/>
    <w:pPr>
      <w:jc w:val="left"/>
    </w:pPr>
  </w:style>
  <w:style w:type="paragraph" w:styleId="7">
    <w:name w:val="Body Text 3"/>
    <w:basedOn w:val="1"/>
    <w:autoRedefine/>
    <w:qFormat/>
    <w:uiPriority w:val="0"/>
    <w:rPr>
      <w:sz w:val="16"/>
      <w:szCs w:val="16"/>
    </w:rPr>
  </w:style>
  <w:style w:type="paragraph" w:styleId="8">
    <w:name w:val="Body Text"/>
    <w:basedOn w:val="1"/>
    <w:next w:val="1"/>
    <w:autoRedefine/>
    <w:qFormat/>
    <w:uiPriority w:val="0"/>
    <w:pPr>
      <w:widowControl w:val="0"/>
      <w:jc w:val="both"/>
    </w:pPr>
    <w:rPr>
      <w:kern w:val="2"/>
      <w:sz w:val="28"/>
    </w:rPr>
  </w:style>
  <w:style w:type="paragraph" w:styleId="9">
    <w:name w:val="Body Text Indent"/>
    <w:basedOn w:val="1"/>
    <w:next w:val="1"/>
    <w:autoRedefine/>
    <w:qFormat/>
    <w:uiPriority w:val="0"/>
    <w:pPr>
      <w:ind w:left="420" w:leftChars="200"/>
    </w:pPr>
  </w:style>
  <w:style w:type="paragraph" w:styleId="10">
    <w:name w:val="toc 5"/>
    <w:basedOn w:val="1"/>
    <w:next w:val="1"/>
    <w:autoRedefine/>
    <w:qFormat/>
    <w:uiPriority w:val="0"/>
    <w:pPr>
      <w:ind w:left="1680" w:leftChars="800"/>
      <w:jc w:val="left"/>
    </w:pPr>
    <w:rPr>
      <w:rFonts w:hint="default" w:ascii="Times New Roman" w:hAnsi="Times New Roman" w:eastAsia="宋体" w:cs="Times New Roman"/>
      <w:kern w:val="0"/>
      <w:sz w:val="21"/>
      <w:szCs w:val="21"/>
      <w:lang w:val="en-US" w:eastAsia="zh-CN" w:bidi="ar"/>
    </w:rPr>
  </w:style>
  <w:style w:type="paragraph" w:styleId="11">
    <w:name w:val="Plain Text"/>
    <w:basedOn w:val="1"/>
    <w:autoRedefine/>
    <w:qFormat/>
    <w:uiPriority w:val="0"/>
    <w:rPr>
      <w:rFonts w:ascii="宋体" w:hAnsi="Courier New"/>
      <w:szCs w:val="20"/>
    </w:rPr>
  </w:style>
  <w:style w:type="paragraph" w:styleId="12">
    <w:name w:val="footer"/>
    <w:basedOn w:val="1"/>
    <w:autoRedefine/>
    <w:qFormat/>
    <w:uiPriority w:val="0"/>
    <w:pPr>
      <w:tabs>
        <w:tab w:val="center" w:pos="4153"/>
        <w:tab w:val="right" w:pos="8306"/>
      </w:tabs>
      <w:snapToGrid w:val="0"/>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index heading"/>
    <w:basedOn w:val="1"/>
    <w:next w:val="15"/>
    <w:autoRedefine/>
    <w:qFormat/>
    <w:uiPriority w:val="0"/>
    <w:rPr>
      <w:szCs w:val="20"/>
    </w:rPr>
  </w:style>
  <w:style w:type="paragraph" w:styleId="15">
    <w:name w:val="index 1"/>
    <w:basedOn w:val="1"/>
    <w:next w:val="1"/>
    <w:autoRedefine/>
    <w:qFormat/>
    <w:uiPriority w:val="0"/>
    <w:rPr>
      <w:rFonts w:hint="eastAsia" w:ascii="等线" w:hAnsi="等线" w:eastAsia="等线"/>
    </w:rPr>
  </w:style>
  <w:style w:type="paragraph" w:styleId="16">
    <w:name w:val="Normal (Web)"/>
    <w:basedOn w:val="1"/>
    <w:autoRedefine/>
    <w:qFormat/>
    <w:uiPriority w:val="0"/>
    <w:pPr>
      <w:widowControl/>
      <w:spacing w:beforeAutospacing="1" w:afterAutospacing="1"/>
      <w:jc w:val="left"/>
    </w:pPr>
    <w:rPr>
      <w:rFonts w:ascii="宋体" w:hAnsi="宋体"/>
      <w:kern w:val="0"/>
      <w:sz w:val="24"/>
    </w:rPr>
  </w:style>
  <w:style w:type="paragraph" w:styleId="17">
    <w:name w:val="Body Text First Indent"/>
    <w:basedOn w:val="8"/>
    <w:next w:val="1"/>
    <w:autoRedefine/>
    <w:qFormat/>
    <w:uiPriority w:val="0"/>
    <w:pPr>
      <w:ind w:firstLine="420" w:firstLineChars="100"/>
    </w:pPr>
  </w:style>
  <w:style w:type="table" w:styleId="19">
    <w:name w:val="Table Grid"/>
    <w:basedOn w:val="18"/>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0"/>
    <w:rPr>
      <w:b/>
      <w:bCs/>
    </w:rPr>
  </w:style>
  <w:style w:type="character" w:customStyle="1" w:styleId="22">
    <w:name w:val="page number"/>
    <w:basedOn w:val="20"/>
    <w:autoRedefine/>
    <w:qFormat/>
    <w:uiPriority w:val="0"/>
  </w:style>
  <w:style w:type="paragraph" w:customStyle="1" w:styleId="23">
    <w:name w:val="无间隔1"/>
    <w:autoRedefine/>
    <w:qFormat/>
    <w:uiPriority w:val="1"/>
    <w:pPr>
      <w:adjustRightInd w:val="0"/>
      <w:snapToGrid w:val="0"/>
    </w:pPr>
    <w:rPr>
      <w:rFonts w:ascii="Tahoma" w:hAnsi="Tahoma" w:eastAsia="微软雅黑" w:cs="Times New Roman"/>
      <w:sz w:val="22"/>
      <w:szCs w:val="22"/>
      <w:lang w:val="en-US" w:eastAsia="zh-CN" w:bidi="ar-SA"/>
    </w:rPr>
  </w:style>
  <w:style w:type="paragraph" w:customStyle="1" w:styleId="24">
    <w:name w:val="样式 首行缩进:  2 字符"/>
    <w:basedOn w:val="1"/>
    <w:autoRedefine/>
    <w:qFormat/>
    <w:uiPriority w:val="0"/>
    <w:pPr>
      <w:spacing w:line="360" w:lineRule="auto"/>
      <w:ind w:firstLine="480" w:firstLineChars="200"/>
      <w:jc w:val="left"/>
    </w:pPr>
    <w:rPr>
      <w:rFonts w:ascii="宋体" w:hAnsi="宋体" w:cs="宋体"/>
      <w:color w:val="000000"/>
      <w:sz w:val="24"/>
    </w:rPr>
  </w:style>
  <w:style w:type="character" w:customStyle="1" w:styleId="25">
    <w:name w:val="标题 3 Char Char"/>
    <w:autoRedefine/>
    <w:qFormat/>
    <w:uiPriority w:val="0"/>
    <w:rPr>
      <w:rFonts w:ascii="黑体" w:eastAsia="黑体"/>
      <w:bCs/>
      <w:sz w:val="30"/>
    </w:rPr>
  </w:style>
  <w:style w:type="paragraph" w:customStyle="1" w:styleId="26">
    <w:name w:val="正文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p0"/>
    <w:basedOn w:val="1"/>
    <w:autoRedefine/>
    <w:qFormat/>
    <w:uiPriority w:val="0"/>
    <w:pPr>
      <w:widowControl/>
    </w:pPr>
    <w:rPr>
      <w:kern w:val="0"/>
      <w:szCs w:val="21"/>
    </w:rPr>
  </w:style>
  <w:style w:type="paragraph" w:customStyle="1" w:styleId="29">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标题1"/>
    <w:basedOn w:val="1"/>
    <w:autoRedefine/>
    <w:qFormat/>
    <w:uiPriority w:val="0"/>
    <w:pPr>
      <w:spacing w:line="360" w:lineRule="auto"/>
      <w:jc w:val="center"/>
    </w:pPr>
    <w:rPr>
      <w:rFonts w:ascii="黑体" w:eastAsia="黑体"/>
      <w:b/>
      <w:sz w:val="44"/>
    </w:rPr>
  </w:style>
  <w:style w:type="paragraph" w:customStyle="1" w:styleId="33">
    <w:name w:val="列出段落1"/>
    <w:basedOn w:val="1"/>
    <w:autoRedefine/>
    <w:qFormat/>
    <w:uiPriority w:val="0"/>
    <w:pPr>
      <w:widowControl w:val="0"/>
      <w:spacing w:line="360" w:lineRule="auto"/>
      <w:ind w:firstLine="420" w:firstLineChars="200"/>
      <w:jc w:val="both"/>
    </w:pPr>
    <w:rPr>
      <w:kern w:val="2"/>
      <w:sz w:val="24"/>
      <w:szCs w:val="24"/>
    </w:rPr>
  </w:style>
  <w:style w:type="table" w:customStyle="1" w:styleId="34">
    <w:name w:val="Table Normal"/>
    <w:autoRedefine/>
    <w:unhideWhenUsed/>
    <w:qFormat/>
    <w:uiPriority w:val="0"/>
    <w:tblPr>
      <w:tblCellMar>
        <w:top w:w="0" w:type="dxa"/>
        <w:left w:w="0" w:type="dxa"/>
        <w:bottom w:w="0" w:type="dxa"/>
        <w:right w:w="0" w:type="dxa"/>
      </w:tblCellMar>
    </w:tblPr>
  </w:style>
  <w:style w:type="paragraph" w:customStyle="1" w:styleId="35">
    <w:name w:val="my正文"/>
    <w:basedOn w:val="1"/>
    <w:autoRedefine/>
    <w:qFormat/>
    <w:uiPriority w:val="0"/>
    <w:pPr>
      <w:spacing w:line="360" w:lineRule="auto"/>
      <w:ind w:firstLine="480" w:firstLineChars="200"/>
    </w:pPr>
    <w:rPr>
      <w:sz w:val="24"/>
      <w:szCs w:val="24"/>
    </w:rPr>
  </w:style>
  <w:style w:type="paragraph" w:customStyle="1" w:styleId="36">
    <w:name w:val="List Paragraph"/>
    <w:basedOn w:val="1"/>
    <w:autoRedefine/>
    <w:qFormat/>
    <w:uiPriority w:val="0"/>
    <w:pPr>
      <w:widowControl/>
      <w:ind w:firstLine="420" w:firstLineChars="200"/>
      <w:jc w:val="left"/>
    </w:pPr>
    <w:rPr>
      <w:kern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6bdd95be-e06a-46f6-8b1c-18613db97741</errorID>
      <errorWord>期</errorWord>
      <group>L1_Word</group>
      <groupName>字词问题</groupName>
      <ability>L2_Typo</ability>
      <abilityName>字词错误</abilityName>
      <candidateList>
        <item>期限</item>
      </candidateList>
      <explain/>
      <paraID>6BADF464</paraID>
      <start>7</start>
      <end>8</end>
      <status>ignored</status>
      <modifiedWord/>
      <trackRevisions>false</trackRevisions>
    </reviewItem>
    <reviewItem>
      <errorID>3a23d3bc-4f8a-42dc-b29c-4e20c49c79ba</errorID>
      <errorWord>自闭</errorWord>
      <group>L1_Official</group>
      <groupName>公文问题</groupName>
      <ability>L2_Official</ability>
      <abilityName>公文问题</abilityName>
      <candidateList/>
      <explain>公文中禁止出现该词语</explain>
      <paraID>36E6FC0E</paraID>
      <start>2</start>
      <end>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bac51d-5c03-40f8-9a3b-6f6cbd976d5f}">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4589</Words>
  <Characters>4759</Characters>
  <Lines>0</Lines>
  <Paragraphs>0</Paragraphs>
  <TotalTime>127</TotalTime>
  <ScaleCrop>false</ScaleCrop>
  <LinksUpToDate>false</LinksUpToDate>
  <CharactersWithSpaces>4789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2023-04-06T09:17:00Z</dcterms:created>
  <dc:creator>Administrator</dc:creator>
  <cp:lastModifiedBy>韶</cp:lastModifiedBy>
  <cp:lastPrinted>2024-03-26T01:48:00Z</cp:lastPrinted>
  <dcterms:modified xsi:type="dcterms:W3CDTF">2026-03-09T08:40:25Z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D0FA56AF81474373856F60358E043E36_13</vt:lpwstr>
  </property>
  <property fmtid="{D5CDD505-2E9C-101B-9397-08002B2CF9AE}" pid="4" name="KSOTemplateDocerSaveRecord">
    <vt:lpwstr>eyJoZGlkIjoiNmUwZGNjNTc1YjZiNjlkMTViOWYzNzk3NDUzODgyMzkiLCJ1c2VySWQiOiI1NTI1NjM5MzcifQ==</vt:lpwstr>
  </property>
</Properties>
</file>