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ED016">
      <w:pPr>
        <w:keepNext w:val="0"/>
        <w:keepLines w:val="0"/>
        <w:pageBreakBefore w:val="0"/>
        <w:widowControl w:val="0"/>
        <w:kinsoku/>
        <w:wordWrap/>
        <w:overflowPunct/>
        <w:topLinePunct w:val="0"/>
        <w:autoSpaceDE/>
        <w:autoSpaceDN/>
        <w:bidi w:val="0"/>
        <w:snapToGrid/>
        <w:textAlignment w:val="auto"/>
        <w:rPr>
          <w:rFonts w:ascii="仿宋_GB2312" w:eastAsia="仿宋_GB2312"/>
          <w:color w:val="auto"/>
          <w:sz w:val="32"/>
          <w:szCs w:val="32"/>
        </w:rPr>
      </w:pPr>
      <w:r>
        <w:rPr>
          <w:rFonts w:hint="eastAsia" w:ascii="仿宋_GB2312" w:eastAsia="仿宋_GB2312"/>
          <w:color w:val="auto"/>
          <w:sz w:val="32"/>
          <w:szCs w:val="32"/>
        </w:rPr>
        <w:t>附件1：</w:t>
      </w:r>
    </w:p>
    <w:p w14:paraId="4E3F7629">
      <w:pPr>
        <w:keepNext w:val="0"/>
        <w:keepLines w:val="0"/>
        <w:pageBreakBefore w:val="0"/>
        <w:widowControl w:val="0"/>
        <w:kinsoku/>
        <w:wordWrap/>
        <w:overflowPunct/>
        <w:topLinePunct w:val="0"/>
        <w:autoSpaceDE/>
        <w:autoSpaceDN/>
        <w:bidi w:val="0"/>
        <w:snapToGrid/>
        <w:jc w:val="center"/>
        <w:textAlignment w:val="auto"/>
        <w:rPr>
          <w:rFonts w:hint="eastAsia" w:ascii="公文小标宋简" w:eastAsia="公文小标宋简"/>
          <w:color w:val="auto"/>
          <w:sz w:val="44"/>
          <w:szCs w:val="44"/>
          <w:lang w:val="en-US" w:eastAsia="zh-CN"/>
        </w:rPr>
      </w:pPr>
      <w:bookmarkStart w:id="0" w:name="OLE_LINK2"/>
      <w:r>
        <w:rPr>
          <w:rFonts w:hint="eastAsia" w:ascii="公文小标宋简" w:eastAsia="公文小标宋简"/>
          <w:color w:val="auto"/>
          <w:sz w:val="44"/>
          <w:szCs w:val="44"/>
          <w:lang w:eastAsia="zh-CN"/>
        </w:rPr>
        <w:t>中山市南朗医院</w:t>
      </w:r>
      <w:r>
        <w:rPr>
          <w:rFonts w:hint="eastAsia" w:ascii="公文小标宋简" w:eastAsia="公文小标宋简"/>
          <w:color w:val="auto"/>
          <w:sz w:val="44"/>
          <w:szCs w:val="44"/>
          <w:lang w:val="en-US" w:eastAsia="zh-CN"/>
        </w:rPr>
        <w:t>DR球管采购项目</w:t>
      </w:r>
      <w:bookmarkEnd w:id="0"/>
    </w:p>
    <w:p w14:paraId="3FDC0D59">
      <w:pPr>
        <w:keepNext w:val="0"/>
        <w:keepLines w:val="0"/>
        <w:pageBreakBefore w:val="0"/>
        <w:widowControl w:val="0"/>
        <w:kinsoku/>
        <w:wordWrap/>
        <w:overflowPunct/>
        <w:topLinePunct w:val="0"/>
        <w:autoSpaceDE/>
        <w:autoSpaceDN/>
        <w:bidi w:val="0"/>
        <w:snapToGrid/>
        <w:jc w:val="center"/>
        <w:textAlignment w:val="auto"/>
        <w:rPr>
          <w:rFonts w:hint="eastAsia" w:ascii="公文小标宋简" w:eastAsia="公文小标宋简"/>
          <w:color w:val="auto"/>
          <w:sz w:val="44"/>
          <w:szCs w:val="44"/>
          <w:lang w:eastAsia="zh-CN"/>
        </w:rPr>
      </w:pPr>
      <w:r>
        <w:rPr>
          <w:rFonts w:hint="eastAsia" w:ascii="公文小标宋简" w:eastAsia="公文小标宋简"/>
          <w:color w:val="auto"/>
          <w:sz w:val="44"/>
          <w:szCs w:val="44"/>
          <w:lang w:eastAsia="zh-CN"/>
        </w:rPr>
        <w:t>院内</w:t>
      </w:r>
      <w:r>
        <w:rPr>
          <w:rFonts w:hint="eastAsia" w:ascii="公文小标宋简" w:eastAsia="公文小标宋简"/>
          <w:color w:val="auto"/>
          <w:sz w:val="44"/>
          <w:szCs w:val="44"/>
          <w:lang w:val="en-US" w:eastAsia="zh-CN"/>
        </w:rPr>
        <w:t>比选要求</w:t>
      </w:r>
    </w:p>
    <w:p w14:paraId="7FE73C0F">
      <w:pPr>
        <w:keepNext w:val="0"/>
        <w:keepLines w:val="0"/>
        <w:pageBreakBefore w:val="0"/>
        <w:widowControl w:val="0"/>
        <w:kinsoku/>
        <w:wordWrap/>
        <w:overflowPunct/>
        <w:topLinePunct w:val="0"/>
        <w:autoSpaceDE/>
        <w:autoSpaceDN/>
        <w:bidi w:val="0"/>
        <w:adjustRightInd w:val="0"/>
        <w:snapToGrid/>
        <w:spacing w:line="348" w:lineRule="auto"/>
        <w:ind w:firstLine="40" w:firstLineChars="200"/>
        <w:jc w:val="left"/>
        <w:textAlignment w:val="auto"/>
        <w:rPr>
          <w:rFonts w:hint="eastAsia" w:ascii="仿宋_GB2312" w:hAnsi="仿宋_GB2312" w:eastAsia="仿宋_GB2312" w:cs="仿宋_GB2312"/>
          <w:color w:val="auto"/>
          <w:sz w:val="2"/>
          <w:szCs w:val="2"/>
        </w:rPr>
      </w:pPr>
    </w:p>
    <w:p w14:paraId="54E4F1DD">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中山市南朗医院DR球管采购项目</w:t>
      </w:r>
    </w:p>
    <w:p w14:paraId="56C34241">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default"/>
          <w:lang w:val="en-US" w:eastAsia="zh-CN"/>
        </w:rPr>
      </w:pP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lang w:val="en-US" w:eastAsia="zh-CN"/>
        </w:rPr>
        <w:t>95,000.00元。</w:t>
      </w:r>
    </w:p>
    <w:p w14:paraId="2B2DDE75">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p>
    <w:p w14:paraId="6E9F6D4D">
      <w:pPr>
        <w:keepNext w:val="0"/>
        <w:keepLines w:val="0"/>
        <w:pageBreakBefore w:val="0"/>
        <w:widowControl w:val="0"/>
        <w:kinsoku/>
        <w:wordWrap/>
        <w:overflowPunct/>
        <w:topLinePunct w:val="0"/>
        <w:autoSpaceDE/>
        <w:autoSpaceDN/>
        <w:bidi w:val="0"/>
        <w:adjustRightInd w:val="0"/>
        <w:snapToGrid/>
        <w:spacing w:line="348" w:lineRule="auto"/>
        <w:ind w:firstLine="608" w:firstLineChars="19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为保障</w:t>
      </w:r>
      <w:r>
        <w:rPr>
          <w:rFonts w:hint="eastAsia" w:ascii="仿宋_GB2312" w:hAnsi="仿宋_GB2312" w:eastAsia="仿宋_GB2312" w:cs="仿宋_GB2312"/>
          <w:color w:val="auto"/>
          <w:sz w:val="32"/>
          <w:szCs w:val="32"/>
          <w:lang w:eastAsia="zh-CN"/>
        </w:rPr>
        <w:t>中山市南朗医院DR球管采购项目</w:t>
      </w:r>
      <w:r>
        <w:rPr>
          <w:rFonts w:hint="eastAsia" w:ascii="仿宋_GB2312" w:hAnsi="仿宋_GB2312" w:eastAsia="仿宋_GB2312" w:cs="仿宋_GB2312"/>
          <w:color w:val="auto"/>
          <w:sz w:val="32"/>
          <w:szCs w:val="32"/>
        </w:rPr>
        <w:t>工作</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顺利开展，经决定，以</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的形式向社会公开征集合法经营、信誉良好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rPr>
        <w:t>产品符合要求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b w:val="0"/>
          <w:bCs/>
          <w:color w:val="auto"/>
          <w:sz w:val="32"/>
          <w:szCs w:val="32"/>
          <w:lang w:eastAsia="zh-CN"/>
        </w:rPr>
        <w:t>单位</w:t>
      </w:r>
      <w:r>
        <w:rPr>
          <w:rFonts w:hint="eastAsia" w:ascii="仿宋_GB2312" w:hAnsi="仿宋_GB2312" w:eastAsia="仿宋_GB2312" w:cs="仿宋_GB2312"/>
          <w:color w:val="auto"/>
          <w:sz w:val="32"/>
          <w:szCs w:val="32"/>
        </w:rPr>
        <w:t>。现就</w:t>
      </w:r>
      <w:r>
        <w:rPr>
          <w:rFonts w:hint="eastAsia" w:ascii="仿宋_GB2312" w:hAnsi="仿宋_GB2312" w:eastAsia="仿宋_GB2312" w:cs="仿宋_GB2312"/>
          <w:color w:val="auto"/>
          <w:sz w:val="32"/>
          <w:szCs w:val="32"/>
          <w:lang w:eastAsia="zh-CN"/>
        </w:rPr>
        <w:t>相</w:t>
      </w:r>
      <w:r>
        <w:rPr>
          <w:rFonts w:hint="eastAsia" w:ascii="仿宋_GB2312" w:hAnsi="仿宋_GB2312" w:eastAsia="仿宋_GB2312" w:cs="仿宋_GB2312"/>
          <w:color w:val="auto"/>
          <w:sz w:val="32"/>
          <w:szCs w:val="32"/>
        </w:rPr>
        <w:t>关事宜和要求说明如下：</w:t>
      </w:r>
    </w:p>
    <w:p w14:paraId="2DF0962F">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一、原则</w:t>
      </w:r>
    </w:p>
    <w:p w14:paraId="34F4FB9C">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公平、公</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、公开、择优录用的原则。</w:t>
      </w:r>
    </w:p>
    <w:p w14:paraId="3245BEC2">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实事求是原则。</w:t>
      </w:r>
    </w:p>
    <w:p w14:paraId="4BF7309D">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须知</w:t>
      </w:r>
    </w:p>
    <w:p w14:paraId="565F9660">
      <w:pPr>
        <w:ind w:firstLine="48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1.响应供应商应具备条件</w:t>
      </w:r>
      <w:r>
        <w:rPr>
          <w:rFonts w:hint="eastAsia" w:ascii="仿宋_GB2312" w:hAnsi="仿宋_GB2312" w:eastAsia="仿宋_GB2312" w:cs="仿宋_GB2312"/>
          <w:b/>
          <w:bCs/>
          <w:color w:val="auto"/>
          <w:sz w:val="32"/>
          <w:szCs w:val="32"/>
          <w:lang w:val="en-US" w:eastAsia="zh-CN"/>
        </w:rPr>
        <w:t>（资格审查性要求，未满足其中一项则被认定为无效响应。具体查看附件1-1）</w:t>
      </w:r>
    </w:p>
    <w:p w14:paraId="64DB2BBC">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leftChars="0" w:firstLine="640" w:firstLineChars="200"/>
        <w:textAlignment w:val="auto"/>
        <w:rPr>
          <w:rFonts w:ascii="仿宋_GB2312" w:hAnsi="仿宋_GB2312" w:eastAsia="仿宋_GB2312" w:cs="仿宋_GB2312"/>
          <w:color w:val="auto"/>
          <w:sz w:val="32"/>
          <w:szCs w:val="32"/>
        </w:rPr>
      </w:pPr>
      <w:bookmarkStart w:id="1" w:name="OLE_LINK3"/>
      <w:r>
        <w:rPr>
          <w:rFonts w:hint="eastAsia" w:ascii="仿宋_GB2312" w:hAnsi="仿宋_GB2312" w:eastAsia="仿宋_GB2312" w:cs="仿宋_GB2312"/>
          <w:color w:val="auto"/>
          <w:sz w:val="32"/>
          <w:szCs w:val="32"/>
        </w:rPr>
        <w:t>具有独立承担民事责任的能力；【提供有效的营业执照副本复印件（或其他主体资格证明等）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个体单位提供个人身份证正反面复印件，并加盖手印印章</w:t>
      </w:r>
      <w:r>
        <w:rPr>
          <w:rFonts w:hint="eastAsia" w:ascii="仿宋_GB2312" w:hAnsi="仿宋_GB2312" w:eastAsia="仿宋_GB2312" w:cs="仿宋_GB2312"/>
          <w:color w:val="auto"/>
          <w:sz w:val="32"/>
          <w:szCs w:val="32"/>
        </w:rPr>
        <w:t>】</w:t>
      </w:r>
    </w:p>
    <w:p w14:paraId="08E7CAF6">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bookmarkStart w:id="2" w:name="OLE_LINK4"/>
      <w:r>
        <w:rPr>
          <w:rFonts w:hint="eastAsia" w:ascii="仿宋_GB2312" w:hAnsi="仿宋_GB2312" w:eastAsia="仿宋_GB2312" w:cs="仿宋_GB2312"/>
          <w:color w:val="auto"/>
          <w:sz w:val="32"/>
          <w:szCs w:val="32"/>
          <w:lang w:eastAsia="zh-CN"/>
        </w:rPr>
        <w:t>具有履行合同所必需的设备和专业技术能力，且具备本项目的特定资格要求：供应商须同时具备有效期内的《医疗器械经营许可证》（经营范围须包含</w:t>
      </w:r>
      <w:r>
        <w:rPr>
          <w:rFonts w:hint="eastAsia" w:ascii="宋体" w:hAnsi="宋体" w:eastAsia="宋体" w:cs="宋体"/>
          <w:color w:val="auto"/>
          <w:sz w:val="32"/>
          <w:szCs w:val="32"/>
          <w:lang w:eastAsia="zh-CN"/>
        </w:rPr>
        <w:t>Ⅲ</w:t>
      </w:r>
      <w:r>
        <w:rPr>
          <w:rFonts w:hint="eastAsia" w:ascii="仿宋_GB2312" w:hAnsi="仿宋_GB2312" w:eastAsia="仿宋_GB2312" w:cs="仿宋_GB2312"/>
          <w:color w:val="auto"/>
          <w:sz w:val="32"/>
          <w:szCs w:val="32"/>
          <w:lang w:eastAsia="zh-CN"/>
        </w:rPr>
        <w:t>类医疗器械）和《第二类医疗器械经营备案凭证》；【提供上述资质证书复印件，并加盖供应商公章】</w:t>
      </w:r>
    </w:p>
    <w:bookmarkEnd w:id="2"/>
    <w:p w14:paraId="3B9B25AF">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投标产品须为合法注册的医疗器械，供应商须承诺所有投标产品均已取得有效的《中华人民共和国医疗器械注册证》；【提供承诺函，格式自拟，并加盖供应商公章】</w:t>
      </w:r>
    </w:p>
    <w:p w14:paraId="152029E6">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参加采购活动前3年内，在经营活动中没有重大违法记录；重大违法记录是指</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因违法经营受到刑事处罚或者责令停产停业、吊销许可证或者执照、较大数额罚款等行政处罚。</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负责人为同一人或者存在直接控股、管理关系的不同</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，不得同时参加本采购项目（或采购包）报价。</w:t>
      </w: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资格声明函》，模板见附件</w:t>
      </w:r>
      <w:r>
        <w:rPr>
          <w:rFonts w:hint="eastAsia" w:ascii="仿宋_GB2312" w:hAnsi="仿宋_GB2312" w:eastAsia="仿宋_GB2312" w:cs="仿宋_GB2312"/>
          <w:color w:val="auto"/>
          <w:sz w:val="32"/>
          <w:szCs w:val="32"/>
          <w:lang w:eastAsia="zh-CN"/>
        </w:rPr>
        <w:t>】</w:t>
      </w:r>
    </w:p>
    <w:bookmarkEnd w:id="1"/>
    <w:p w14:paraId="542A3120">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报价</w:t>
      </w:r>
      <w:r>
        <w:rPr>
          <w:rFonts w:hint="eastAsia" w:ascii="仿宋_GB2312" w:hAnsi="仿宋_GB2312" w:eastAsia="仿宋_GB2312" w:cs="仿宋_GB2312"/>
          <w:color w:val="auto"/>
          <w:sz w:val="32"/>
          <w:szCs w:val="32"/>
          <w:lang w:eastAsia="zh-CN"/>
        </w:rPr>
        <w:t>无重大漏项或重大不合理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报价符合</w:t>
      </w:r>
      <w:r>
        <w:rPr>
          <w:rFonts w:hint="eastAsia" w:ascii="仿宋_GB2312" w:hAnsi="仿宋_GB2312" w:eastAsia="仿宋_GB2312" w:cs="仿宋_GB2312"/>
          <w:color w:val="auto"/>
          <w:sz w:val="32"/>
          <w:szCs w:val="32"/>
          <w:lang w:val="en-US" w:eastAsia="zh-CN"/>
        </w:rPr>
        <w:t>预算</w:t>
      </w:r>
      <w:r>
        <w:rPr>
          <w:rFonts w:hint="eastAsia" w:ascii="仿宋_GB2312" w:hAnsi="仿宋_GB2312" w:eastAsia="仿宋_GB2312" w:cs="仿宋_GB2312"/>
          <w:color w:val="auto"/>
          <w:sz w:val="32"/>
          <w:szCs w:val="32"/>
          <w:lang w:eastAsia="zh-CN"/>
        </w:rPr>
        <w:t>要求且不超过项目预算金额。【</w:t>
      </w:r>
      <w:r>
        <w:rPr>
          <w:rFonts w:hint="eastAsia" w:ascii="仿宋_GB2312" w:hAnsi="仿宋_GB2312" w:eastAsia="仿宋_GB2312" w:cs="仿宋_GB2312"/>
          <w:color w:val="auto"/>
          <w:sz w:val="32"/>
          <w:szCs w:val="32"/>
          <w:lang w:val="en-US" w:eastAsia="zh-CN"/>
        </w:rPr>
        <w:t>供应商报价不得超过95000元】</w:t>
      </w:r>
    </w:p>
    <w:p w14:paraId="5AAD328E">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lang w:eastAsia="zh-CN"/>
        </w:rPr>
        <w:t>满足项目采购需求</w:t>
      </w:r>
      <w:r>
        <w:rPr>
          <w:rFonts w:hint="eastAsia" w:ascii="仿宋_GB2312" w:eastAsia="仿宋_GB2312"/>
          <w:b w:val="0"/>
          <w:bCs w:val="0"/>
          <w:color w:val="auto"/>
          <w:sz w:val="32"/>
          <w:szCs w:val="32"/>
          <w:lang w:val="en-US" w:eastAsia="zh-CN"/>
        </w:rPr>
        <w:t>【</w:t>
      </w:r>
      <w:r>
        <w:rPr>
          <w:rFonts w:hint="eastAsia" w:ascii="仿宋_GB2312" w:hAnsi="仿宋_GB2312" w:eastAsia="仿宋_GB2312" w:cs="仿宋_GB2312"/>
          <w:b/>
          <w:bCs/>
          <w:color w:val="auto"/>
          <w:sz w:val="32"/>
          <w:szCs w:val="32"/>
          <w:lang w:eastAsia="zh-CN"/>
        </w:rPr>
        <w:t>提供</w:t>
      </w:r>
      <w:r>
        <w:rPr>
          <w:rFonts w:hint="eastAsia" w:ascii="仿宋_GB2312" w:hAnsi="仿宋_GB2312" w:eastAsia="仿宋_GB2312" w:cs="仿宋_GB2312"/>
          <w:b/>
          <w:bCs/>
          <w:color w:val="auto"/>
          <w:sz w:val="32"/>
          <w:szCs w:val="32"/>
          <w:lang w:val="en-US" w:eastAsia="zh-CN"/>
        </w:rPr>
        <w:t>具体的</w:t>
      </w:r>
      <w:r>
        <w:rPr>
          <w:rFonts w:hint="eastAsia" w:ascii="仿宋_GB2312" w:hAnsi="仿宋_GB2312" w:eastAsia="仿宋_GB2312" w:cs="仿宋_GB2312"/>
          <w:b/>
          <w:bCs/>
          <w:color w:val="auto"/>
          <w:sz w:val="32"/>
          <w:szCs w:val="32"/>
          <w:lang w:eastAsia="zh-CN"/>
        </w:rPr>
        <w:t>服务方案。</w:t>
      </w:r>
      <w:r>
        <w:rPr>
          <w:rFonts w:hint="eastAsia" w:ascii="仿宋_GB2312" w:hAnsi="仿宋_GB2312" w:eastAsia="仿宋_GB2312" w:cs="仿宋_GB2312"/>
          <w:b w:val="0"/>
          <w:bCs w:val="0"/>
          <w:color w:val="auto"/>
          <w:sz w:val="32"/>
          <w:szCs w:val="32"/>
          <w:lang w:eastAsia="zh-CN"/>
        </w:rPr>
        <w:t>包含但不限于</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rPr>
        <w:t>附件2</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采购需求”，</w:t>
      </w:r>
      <w:r>
        <w:rPr>
          <w:rFonts w:hint="eastAsia" w:ascii="仿宋_GB2312" w:eastAsia="仿宋_GB2312"/>
          <w:b/>
          <w:bCs/>
          <w:color w:val="auto"/>
          <w:sz w:val="32"/>
          <w:szCs w:val="32"/>
          <w:lang w:val="en-US" w:eastAsia="zh-CN"/>
        </w:rPr>
        <w:t>分点列举</w:t>
      </w:r>
      <w:r>
        <w:rPr>
          <w:rFonts w:hint="eastAsia" w:ascii="仿宋_GB2312" w:hAnsi="仿宋_GB2312" w:eastAsia="仿宋_GB2312" w:cs="仿宋_GB2312"/>
          <w:b/>
          <w:bCs/>
          <w:color w:val="auto"/>
          <w:sz w:val="32"/>
          <w:szCs w:val="32"/>
          <w:lang w:eastAsia="zh-CN"/>
        </w:rPr>
        <w:t>服务</w:t>
      </w:r>
      <w:r>
        <w:rPr>
          <w:rFonts w:hint="eastAsia" w:ascii="仿宋_GB2312" w:hAnsi="仿宋_GB2312" w:eastAsia="仿宋_GB2312" w:cs="仿宋_GB2312"/>
          <w:b/>
          <w:bCs/>
          <w:color w:val="auto"/>
          <w:sz w:val="32"/>
          <w:szCs w:val="32"/>
          <w:lang w:val="en-US" w:eastAsia="zh-CN"/>
        </w:rPr>
        <w:t>内容</w:t>
      </w:r>
      <w:r>
        <w:rPr>
          <w:rFonts w:hint="eastAsia" w:ascii="仿宋_GB2312" w:eastAsia="仿宋_GB2312"/>
          <w:b/>
          <w:bCs/>
          <w:color w:val="auto"/>
          <w:sz w:val="32"/>
          <w:szCs w:val="32"/>
          <w:lang w:val="en-US" w:eastAsia="zh-CN"/>
        </w:rPr>
        <w:t>明细</w:t>
      </w:r>
      <w:r>
        <w:rPr>
          <w:rFonts w:hint="eastAsia" w:ascii="仿宋_GB2312" w:eastAsia="仿宋_GB2312"/>
          <w:b w:val="0"/>
          <w:bCs w:val="0"/>
          <w:color w:val="auto"/>
          <w:sz w:val="32"/>
          <w:szCs w:val="32"/>
          <w:lang w:val="en-US" w:eastAsia="zh-CN"/>
        </w:rPr>
        <w:t>】</w:t>
      </w:r>
    </w:p>
    <w:p w14:paraId="133C6537">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2.响应文件要求</w:t>
      </w:r>
      <w:r>
        <w:rPr>
          <w:rFonts w:hint="eastAsia" w:ascii="仿宋_GB2312" w:hAnsi="仿宋_GB2312" w:eastAsia="仿宋_GB2312" w:cs="仿宋_GB2312"/>
          <w:color w:val="auto"/>
          <w:sz w:val="32"/>
          <w:szCs w:val="32"/>
        </w:rPr>
        <w:t>：</w:t>
      </w:r>
    </w:p>
    <w:p w14:paraId="67BA2981">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分别装订（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份正本、</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份副本，共</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份），上述资料均需加盖单位公章；除报名表外其他所有资料须按顺序整理并用文件袋装订好，将报名表直接粘贴在文件袋的正面，在封口处加盖单位公章。</w:t>
      </w:r>
    </w:p>
    <w:p w14:paraId="787BC025">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必须在规定的时间内送达指定地点，送达后不得撤回或修改。</w:t>
      </w:r>
    </w:p>
    <w:p w14:paraId="2786A6A1">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原则</w:t>
      </w:r>
    </w:p>
    <w:p w14:paraId="76763D76">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1.资格性审查：比选人按《资格性评审表》（附表1-1）的内容对响应供应商进行资格审查。通过审查响应供应商不足3家的，比选失败。未通过资格审查的供应商不进入综合得分阶段的评审。</w:t>
      </w:r>
    </w:p>
    <w:p w14:paraId="620E5EAA">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2.综合得分评审：综合得分=商务得分+报价得分。</w:t>
      </w:r>
    </w:p>
    <w:tbl>
      <w:tblPr>
        <w:tblStyle w:val="9"/>
        <w:tblW w:w="5062" w:type="pct"/>
        <w:tblInd w:w="-1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77"/>
        <w:gridCol w:w="1983"/>
        <w:gridCol w:w="1984"/>
        <w:gridCol w:w="1984"/>
      </w:tblGrid>
      <w:tr w14:paraId="7E6851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78567D6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评分项目</w:t>
            </w:r>
          </w:p>
          <w:p w14:paraId="2C1E2708">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具体查看附件1-2</w:t>
            </w:r>
            <w:r>
              <w:rPr>
                <w:rFonts w:hint="eastAsia" w:ascii="仿宋_GB2312" w:hAnsi="仿宋_GB2312" w:eastAsia="仿宋_GB2312" w:cs="仿宋_GB2312"/>
                <w:color w:val="auto"/>
                <w:sz w:val="24"/>
                <w:szCs w:val="24"/>
                <w:lang w:eastAsia="zh-CN"/>
              </w:rPr>
              <w:t>）</w:t>
            </w:r>
          </w:p>
        </w:tc>
        <w:tc>
          <w:tcPr>
            <w:tcW w:w="1149" w:type="pct"/>
            <w:vAlign w:val="center"/>
          </w:tcPr>
          <w:p w14:paraId="27189A46">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商务</w:t>
            </w:r>
            <w:r>
              <w:rPr>
                <w:rFonts w:hint="eastAsia" w:ascii="仿宋_GB2312" w:hAnsi="仿宋_GB2312" w:eastAsia="仿宋_GB2312" w:cs="仿宋_GB2312"/>
                <w:color w:val="auto"/>
                <w:sz w:val="32"/>
                <w:szCs w:val="32"/>
                <w:lang w:eastAsia="zh-CN"/>
              </w:rPr>
              <w:t>部分</w:t>
            </w:r>
          </w:p>
        </w:tc>
        <w:tc>
          <w:tcPr>
            <w:tcW w:w="1149" w:type="pct"/>
            <w:vAlign w:val="center"/>
          </w:tcPr>
          <w:p w14:paraId="2D384618">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技术部分</w:t>
            </w:r>
          </w:p>
        </w:tc>
        <w:tc>
          <w:tcPr>
            <w:tcW w:w="1149" w:type="pct"/>
            <w:vAlign w:val="center"/>
          </w:tcPr>
          <w:p w14:paraId="48D69D90">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价格部分</w:t>
            </w:r>
          </w:p>
        </w:tc>
      </w:tr>
      <w:tr w14:paraId="505999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54122484">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分值</w:t>
            </w:r>
          </w:p>
        </w:tc>
        <w:tc>
          <w:tcPr>
            <w:tcW w:w="1149" w:type="pct"/>
            <w:vAlign w:val="center"/>
          </w:tcPr>
          <w:p w14:paraId="42AE80CC">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lang w:eastAsia="zh-CN"/>
              </w:rPr>
              <w:t>分</w:t>
            </w:r>
          </w:p>
        </w:tc>
        <w:tc>
          <w:tcPr>
            <w:tcW w:w="1149" w:type="pct"/>
            <w:vAlign w:val="center"/>
          </w:tcPr>
          <w:p w14:paraId="608742D3">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52分</w:t>
            </w:r>
          </w:p>
        </w:tc>
        <w:tc>
          <w:tcPr>
            <w:tcW w:w="1149" w:type="pct"/>
            <w:vAlign w:val="center"/>
          </w:tcPr>
          <w:p w14:paraId="2ACD0584">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30分</w:t>
            </w:r>
          </w:p>
        </w:tc>
      </w:tr>
    </w:tbl>
    <w:p w14:paraId="2DA8CA04">
      <w:pPr>
        <w:pStyle w:val="2"/>
        <w:rPr>
          <w:rFonts w:hint="eastAsia"/>
          <w:color w:val="auto"/>
          <w:lang w:val="en-US" w:eastAsia="zh-CN"/>
        </w:rPr>
      </w:pPr>
    </w:p>
    <w:p w14:paraId="5700A29C">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（1）各评委评出各供应商商务评分，对各评委评分的算术平均值即为该供应商的商务评分。</w:t>
      </w:r>
    </w:p>
    <w:p w14:paraId="6C0D6568">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（2）评出价格评分，商务评分和价格评分相加得出综合得分。并按综合得分从高到低依次排名（出现并列得分时，价格低者优先）。</w:t>
      </w:r>
    </w:p>
    <w:p w14:paraId="133644BB">
      <w:pPr>
        <w:spacing w:line="360" w:lineRule="auto"/>
        <w:ind w:firstLine="640" w:firstLineChars="200"/>
        <w:jc w:val="both"/>
        <w:rPr>
          <w:rFonts w:hint="eastAsia"/>
          <w:color w:val="auto"/>
        </w:rPr>
      </w:pPr>
      <w:r>
        <w:rPr>
          <w:rFonts w:hint="eastAsia" w:ascii="仿宋_GB2312" w:hAnsi="仿宋_GB2312" w:eastAsia="仿宋_GB2312" w:cs="仿宋_GB2312"/>
          <w:color w:val="auto"/>
          <w:sz w:val="32"/>
          <w:szCs w:val="32"/>
          <w:lang w:val="en-US" w:eastAsia="zh-CN"/>
        </w:rPr>
        <w:t>（3）依据综合得分的次序推荐中选候选人。</w:t>
      </w:r>
    </w:p>
    <w:p w14:paraId="25BE528C">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lang w:val="en-US" w:eastAsia="zh-CN"/>
        </w:rPr>
        <w:t>比选失败</w:t>
      </w:r>
    </w:p>
    <w:p w14:paraId="4AAEF8C6">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在比选中，出现下列情形之一的，应予比选失败。</w:t>
      </w:r>
    </w:p>
    <w:p w14:paraId="79822D0E">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（一）通过初步审查的供应商或者对响应文件作实质响应的供应商不足三家的；</w:t>
      </w:r>
    </w:p>
    <w:p w14:paraId="3988A5EB">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（二）出现影响比选公正的违法、违规行为的；</w:t>
      </w:r>
    </w:p>
    <w:p w14:paraId="4498FBE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）因重大变故，比选任务取消的。</w:t>
      </w:r>
    </w:p>
    <w:p w14:paraId="17A5B6C3">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通知</w:t>
      </w:r>
    </w:p>
    <w:p w14:paraId="7DB94B8F">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小组成员审查、论证后，将在</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后</w:t>
      </w:r>
      <w:r>
        <w:rPr>
          <w:rFonts w:hint="eastAsia" w:ascii="仿宋_GB2312" w:hAnsi="仿宋_GB2312" w:eastAsia="仿宋_GB2312" w:cs="仿宋_GB2312"/>
          <w:color w:val="auto"/>
          <w:sz w:val="32"/>
          <w:szCs w:val="32"/>
          <w:lang w:val="en-US" w:eastAsia="zh-CN"/>
        </w:rPr>
        <w:t>三个工作日</w:t>
      </w:r>
      <w:r>
        <w:rPr>
          <w:rFonts w:hint="eastAsia" w:ascii="仿宋_GB2312" w:hAnsi="仿宋_GB2312" w:eastAsia="仿宋_GB2312" w:cs="仿宋_GB2312"/>
          <w:color w:val="auto"/>
          <w:sz w:val="32"/>
          <w:szCs w:val="32"/>
        </w:rPr>
        <w:t>内通知</w:t>
      </w:r>
      <w:r>
        <w:rPr>
          <w:rFonts w:hint="eastAsia" w:ascii="仿宋_GB2312" w:hAnsi="仿宋_GB2312" w:eastAsia="仿宋_GB2312" w:cs="仿宋_GB2312"/>
          <w:color w:val="auto"/>
          <w:sz w:val="32"/>
          <w:szCs w:val="32"/>
          <w:lang w:val="en-US" w:eastAsia="zh-CN"/>
        </w:rPr>
        <w:t>中选人</w:t>
      </w:r>
      <w:r>
        <w:rPr>
          <w:rFonts w:hint="eastAsia" w:ascii="仿宋_GB2312" w:hAnsi="仿宋_GB2312" w:eastAsia="仿宋_GB2312" w:cs="仿宋_GB2312"/>
          <w:color w:val="auto"/>
          <w:sz w:val="32"/>
          <w:szCs w:val="32"/>
        </w:rPr>
        <w:t>进行确定，合同</w:t>
      </w:r>
      <w:r>
        <w:rPr>
          <w:rFonts w:hint="eastAsia" w:ascii="仿宋_GB2312" w:hAnsi="仿宋_GB2312" w:eastAsia="仿宋_GB2312" w:cs="仿宋_GB2312"/>
          <w:color w:val="auto"/>
          <w:sz w:val="32"/>
          <w:szCs w:val="32"/>
          <w:lang w:val="en-US" w:eastAsia="zh-CN"/>
        </w:rPr>
        <w:t>签订</w:t>
      </w:r>
      <w:r>
        <w:rPr>
          <w:rFonts w:hint="eastAsia" w:ascii="仿宋_GB2312" w:hAnsi="仿宋_GB2312" w:eastAsia="仿宋_GB2312" w:cs="仿宋_GB2312"/>
          <w:color w:val="auto"/>
          <w:sz w:val="32"/>
          <w:szCs w:val="32"/>
        </w:rPr>
        <w:t>时间另议。</w:t>
      </w:r>
    </w:p>
    <w:p w14:paraId="692A6F3F">
      <w:pPr>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附表：1、资格性评审表</w:t>
      </w:r>
    </w:p>
    <w:p w14:paraId="73E5206F">
      <w:pPr>
        <w:spacing w:line="360" w:lineRule="auto"/>
        <w:rPr>
          <w:rFonts w:hint="eastAsia" w:ascii="仿宋_GB2312" w:hAnsi="仿宋_GB2312" w:eastAsia="仿宋_GB2312" w:cs="仿宋_GB2312"/>
          <w:color w:val="auto"/>
          <w:sz w:val="32"/>
          <w:szCs w:val="32"/>
          <w:lang w:val="en-US" w:eastAsia="zh-CN"/>
        </w:rPr>
        <w:sectPr>
          <w:footerReference r:id="rId3" w:type="default"/>
          <w:pgSz w:w="11906" w:h="16838"/>
          <w:pgMar w:top="1327" w:right="1800" w:bottom="1327" w:left="1800" w:header="851" w:footer="992" w:gutter="0"/>
          <w:cols w:space="425" w:num="1"/>
          <w:docGrid w:type="lines" w:linePitch="312" w:charSpace="0"/>
        </w:sectPr>
      </w:pPr>
      <w:r>
        <w:rPr>
          <w:rFonts w:hint="eastAsia" w:ascii="仿宋_GB2312" w:hAnsi="仿宋_GB2312" w:eastAsia="仿宋_GB2312" w:cs="仿宋_GB2312"/>
          <w:color w:val="auto"/>
          <w:sz w:val="32"/>
          <w:szCs w:val="32"/>
          <w:lang w:val="en-US" w:eastAsia="zh-CN"/>
        </w:rPr>
        <w:t xml:space="preserve">          2、评审标准表</w:t>
      </w:r>
      <w:r>
        <w:rPr>
          <w:rFonts w:hint="eastAsia" w:ascii="仿宋_GB2312" w:hAnsi="仿宋_GB2312" w:eastAsia="仿宋_GB2312" w:cs="仿宋_GB2312"/>
          <w:color w:val="auto"/>
          <w:sz w:val="32"/>
          <w:szCs w:val="32"/>
          <w:lang w:val="en-US" w:eastAsia="zh-CN"/>
        </w:rPr>
        <w:br w:type="page"/>
      </w:r>
    </w:p>
    <w:p w14:paraId="6436EE1C">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附表1-1：</w:t>
      </w:r>
    </w:p>
    <w:p w14:paraId="6CF65B99">
      <w:pPr>
        <w:pStyle w:val="2"/>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资格性评审表</w:t>
      </w:r>
    </w:p>
    <w:p w14:paraId="5B0AF741">
      <w:pPr>
        <w:pStyle w:val="2"/>
        <w:keepNext w:val="0"/>
        <w:keepLines w:val="0"/>
        <w:pageBreakBefore w:val="0"/>
        <w:widowControl w:val="0"/>
        <w:kinsoku/>
        <w:wordWrap/>
        <w:overflowPunct/>
        <w:topLinePunct w:val="0"/>
        <w:autoSpaceDE/>
        <w:autoSpaceDN/>
        <w:bidi w:val="0"/>
        <w:snapToGrid/>
        <w:spacing w:line="360" w:lineRule="auto"/>
        <w:textAlignment w:val="auto"/>
        <w:rPr>
          <w:rFonts w:hint="eastAsia"/>
          <w:color w:val="auto"/>
          <w:sz w:val="28"/>
          <w:szCs w:val="28"/>
          <w:lang w:val="en-US" w:eastAsia="zh-CN"/>
        </w:rPr>
      </w:pPr>
      <w:r>
        <w:rPr>
          <w:rFonts w:hint="eastAsia" w:ascii="仿宋_GB2312" w:hAnsi="仿宋_GB2312" w:eastAsia="仿宋_GB2312" w:cs="仿宋_GB2312"/>
          <w:color w:val="auto"/>
          <w:sz w:val="28"/>
          <w:szCs w:val="28"/>
          <w:lang w:val="en-US" w:eastAsia="zh-CN"/>
        </w:rPr>
        <w:t>项目名称：中山市南朗医院DR球管采购项目</w:t>
      </w:r>
    </w:p>
    <w:tbl>
      <w:tblPr>
        <w:tblStyle w:val="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2737"/>
        <w:gridCol w:w="2086"/>
        <w:gridCol w:w="2316"/>
        <w:gridCol w:w="1809"/>
        <w:gridCol w:w="1478"/>
        <w:gridCol w:w="1574"/>
        <w:gridCol w:w="1507"/>
      </w:tblGrid>
      <w:tr w14:paraId="0BF5E2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351" w:hRule="atLeast"/>
          <w:jc w:val="center"/>
        </w:trPr>
        <w:tc>
          <w:tcPr>
            <w:tcW w:w="663" w:type="dxa"/>
            <w:shd w:val="clear" w:color="auto" w:fill="D7D7D7"/>
            <w:noWrap w:val="0"/>
            <w:vAlign w:val="center"/>
          </w:tcPr>
          <w:p w14:paraId="4EC844FF">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序号</w:t>
            </w:r>
          </w:p>
        </w:tc>
        <w:tc>
          <w:tcPr>
            <w:tcW w:w="2737" w:type="dxa"/>
            <w:shd w:val="clear" w:color="auto" w:fill="D7D7D7"/>
            <w:noWrap w:val="0"/>
            <w:vAlign w:val="center"/>
          </w:tcPr>
          <w:p w14:paraId="0731E95B">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val="0"/>
                <w:bCs/>
                <w:color w:val="auto"/>
                <w:kern w:val="2"/>
                <w:sz w:val="21"/>
                <w:szCs w:val="21"/>
                <w:lang w:val="en-US" w:eastAsia="zh-CN" w:bidi="ar-SA"/>
              </w:rPr>
            </w:pPr>
            <w:r>
              <w:rPr>
                <w:rFonts w:hint="eastAsia" w:ascii="宋体" w:hAnsi="宋体" w:cs="宋体"/>
                <w:b w:val="0"/>
                <w:bCs/>
                <w:color w:val="auto"/>
                <w:kern w:val="2"/>
                <w:sz w:val="21"/>
                <w:szCs w:val="21"/>
                <w:lang w:val="en-US" w:eastAsia="zh-CN" w:bidi="ar-SA"/>
              </w:rPr>
              <w:t>响应供应商</w:t>
            </w:r>
          </w:p>
        </w:tc>
        <w:tc>
          <w:tcPr>
            <w:tcW w:w="2086" w:type="dxa"/>
            <w:shd w:val="clear" w:color="auto" w:fill="D7D7D7"/>
            <w:noWrap w:val="0"/>
            <w:vAlign w:val="center"/>
          </w:tcPr>
          <w:p w14:paraId="1E6ABA33">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提供有效的营业执照副本复印件（或其他主体资格证明等）</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rPr>
              <w:t>个体单位提供个人身份证正反面复印件，并加盖手印印章</w:t>
            </w:r>
          </w:p>
        </w:tc>
        <w:tc>
          <w:tcPr>
            <w:tcW w:w="2316" w:type="dxa"/>
            <w:shd w:val="clear" w:color="auto" w:fill="D7D7D7"/>
            <w:noWrap w:val="0"/>
            <w:vAlign w:val="center"/>
          </w:tcPr>
          <w:p w14:paraId="1A7451D0">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lang w:val="en-US" w:eastAsia="zh-CN"/>
              </w:rPr>
              <w:t>提供</w:t>
            </w:r>
            <w:r>
              <w:rPr>
                <w:rFonts w:hint="eastAsia" w:ascii="宋体" w:hAnsi="宋体" w:cs="宋体"/>
                <w:b w:val="0"/>
                <w:bCs/>
                <w:color w:val="auto"/>
                <w:sz w:val="21"/>
                <w:szCs w:val="21"/>
              </w:rPr>
              <w:t>有效期内的《医疗器械经营许可证》（经营范围须包含</w:t>
            </w:r>
            <w:r>
              <w:rPr>
                <w:rFonts w:hint="eastAsia" w:ascii="宋体" w:hAnsi="宋体" w:eastAsia="宋体" w:cs="宋体"/>
                <w:b w:val="0"/>
                <w:bCs/>
                <w:color w:val="auto"/>
                <w:sz w:val="21"/>
                <w:szCs w:val="21"/>
              </w:rPr>
              <w:t>Ⅲ</w:t>
            </w:r>
            <w:r>
              <w:rPr>
                <w:rFonts w:hint="eastAsia" w:ascii="宋体" w:hAnsi="宋体" w:cs="宋体"/>
                <w:b w:val="0"/>
                <w:bCs/>
                <w:color w:val="auto"/>
                <w:sz w:val="21"/>
                <w:szCs w:val="21"/>
              </w:rPr>
              <w:t>类医疗器械）和《第二类医疗器械经营备案凭证》复印件，并加盖公章</w:t>
            </w:r>
          </w:p>
        </w:tc>
        <w:tc>
          <w:tcPr>
            <w:tcW w:w="1809" w:type="dxa"/>
            <w:shd w:val="clear" w:color="auto" w:fill="D7D7D7"/>
            <w:noWrap w:val="0"/>
            <w:vAlign w:val="center"/>
          </w:tcPr>
          <w:p w14:paraId="2A450959">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b w:val="0"/>
                <w:bCs/>
                <w:color w:val="auto"/>
                <w:sz w:val="21"/>
                <w:szCs w:val="21"/>
                <w:lang w:val="en-US" w:eastAsia="zh-CN"/>
              </w:rPr>
            </w:pPr>
            <w:r>
              <w:rPr>
                <w:rFonts w:hint="eastAsia" w:ascii="宋体" w:hAnsi="宋体" w:cs="宋体"/>
                <w:b w:val="0"/>
                <w:bCs/>
                <w:color w:val="auto"/>
                <w:sz w:val="21"/>
                <w:szCs w:val="21"/>
                <w:lang w:val="en-US" w:eastAsia="zh-CN"/>
              </w:rPr>
              <w:t>承诺所有投标产品均已取得有效的《中华人民共和国医疗器械注册证》，并提供承诺函</w:t>
            </w:r>
          </w:p>
        </w:tc>
        <w:tc>
          <w:tcPr>
            <w:tcW w:w="1478" w:type="dxa"/>
            <w:shd w:val="clear" w:color="auto" w:fill="D7D7D7"/>
            <w:noWrap w:val="0"/>
            <w:vAlign w:val="center"/>
          </w:tcPr>
          <w:p w14:paraId="710F0C16">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lang w:val="en-US" w:eastAsia="zh-CN"/>
              </w:rPr>
              <w:t>提供《资格声明函》</w:t>
            </w:r>
          </w:p>
        </w:tc>
        <w:tc>
          <w:tcPr>
            <w:tcW w:w="1574" w:type="dxa"/>
            <w:shd w:val="clear" w:color="auto" w:fill="D7D7D7"/>
            <w:noWrap w:val="0"/>
            <w:vAlign w:val="center"/>
          </w:tcPr>
          <w:p w14:paraId="2FEA6A04">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eastAsia="zh-CN"/>
              </w:rPr>
              <w:t>报价符合</w:t>
            </w:r>
            <w:r>
              <w:rPr>
                <w:rFonts w:hint="eastAsia" w:ascii="宋体" w:hAnsi="宋体" w:cs="宋体"/>
                <w:b w:val="0"/>
                <w:bCs/>
                <w:color w:val="auto"/>
                <w:sz w:val="21"/>
                <w:szCs w:val="21"/>
                <w:highlight w:val="none"/>
                <w:lang w:val="en-US" w:eastAsia="zh-CN"/>
              </w:rPr>
              <w:t>预算</w:t>
            </w:r>
            <w:r>
              <w:rPr>
                <w:rFonts w:hint="eastAsia" w:ascii="宋体" w:hAnsi="宋体" w:cs="宋体"/>
                <w:b w:val="0"/>
                <w:bCs/>
                <w:color w:val="auto"/>
                <w:sz w:val="21"/>
                <w:szCs w:val="21"/>
                <w:highlight w:val="none"/>
                <w:lang w:eastAsia="zh-CN"/>
              </w:rPr>
              <w:t>要求且不超过项目预算金额。</w:t>
            </w:r>
            <w:r>
              <w:rPr>
                <w:rFonts w:hint="eastAsia" w:ascii="宋体" w:hAnsi="宋体" w:cs="宋体"/>
                <w:b w:val="0"/>
                <w:bCs/>
                <w:color w:val="auto"/>
                <w:sz w:val="21"/>
                <w:szCs w:val="21"/>
                <w:highlight w:val="none"/>
              </w:rPr>
              <w:t>报价无重大漏项或重大不合理。</w:t>
            </w:r>
          </w:p>
        </w:tc>
        <w:tc>
          <w:tcPr>
            <w:tcW w:w="1507" w:type="dxa"/>
            <w:shd w:val="clear" w:color="auto" w:fill="D7D7D7"/>
            <w:noWrap w:val="0"/>
            <w:vAlign w:val="center"/>
          </w:tcPr>
          <w:p w14:paraId="54B8BE23">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val="0"/>
                <w:bCs/>
                <w:color w:val="auto"/>
                <w:sz w:val="21"/>
                <w:szCs w:val="21"/>
                <w:lang w:eastAsia="zh-CN"/>
              </w:rPr>
            </w:pPr>
            <w:r>
              <w:rPr>
                <w:rFonts w:hint="eastAsia" w:ascii="宋体" w:hAnsi="宋体" w:cs="宋体"/>
                <w:b w:val="0"/>
                <w:bCs/>
                <w:color w:val="auto"/>
                <w:sz w:val="21"/>
                <w:szCs w:val="21"/>
              </w:rPr>
              <w:t>是否同意进入下一阶段</w:t>
            </w:r>
            <w:r>
              <w:rPr>
                <w:rFonts w:hint="eastAsia" w:ascii="宋体" w:hAnsi="宋体" w:cs="宋体"/>
                <w:b w:val="0"/>
                <w:bCs/>
                <w:color w:val="auto"/>
                <w:sz w:val="21"/>
                <w:szCs w:val="21"/>
                <w:lang w:val="en-US" w:eastAsia="zh-CN"/>
              </w:rPr>
              <w:t>评审</w:t>
            </w:r>
          </w:p>
        </w:tc>
      </w:tr>
      <w:tr w14:paraId="428C74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663" w:type="dxa"/>
            <w:noWrap w:val="0"/>
            <w:vAlign w:val="center"/>
          </w:tcPr>
          <w:p w14:paraId="1C5494DE">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1</w:t>
            </w:r>
          </w:p>
        </w:tc>
        <w:tc>
          <w:tcPr>
            <w:tcW w:w="2737" w:type="dxa"/>
            <w:noWrap w:val="0"/>
            <w:vAlign w:val="center"/>
          </w:tcPr>
          <w:p w14:paraId="68849362">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color w:val="auto"/>
                <w:kern w:val="2"/>
                <w:sz w:val="21"/>
                <w:szCs w:val="21"/>
                <w:lang w:val="en-US" w:eastAsia="zh-CN" w:bidi="ar-SA"/>
              </w:rPr>
            </w:pPr>
          </w:p>
        </w:tc>
        <w:tc>
          <w:tcPr>
            <w:tcW w:w="2086" w:type="dxa"/>
            <w:noWrap w:val="0"/>
            <w:vAlign w:val="center"/>
          </w:tcPr>
          <w:p w14:paraId="3C61D540">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2316" w:type="dxa"/>
            <w:noWrap w:val="0"/>
            <w:vAlign w:val="center"/>
          </w:tcPr>
          <w:p w14:paraId="7F276568">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809" w:type="dxa"/>
            <w:noWrap w:val="0"/>
            <w:vAlign w:val="center"/>
          </w:tcPr>
          <w:p w14:paraId="02A17428">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478" w:type="dxa"/>
            <w:noWrap w:val="0"/>
            <w:vAlign w:val="center"/>
          </w:tcPr>
          <w:p w14:paraId="3EC8FBDC">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574" w:type="dxa"/>
            <w:noWrap w:val="0"/>
            <w:vAlign w:val="center"/>
          </w:tcPr>
          <w:p w14:paraId="0FDE30DE">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507" w:type="dxa"/>
            <w:noWrap w:val="0"/>
            <w:vAlign w:val="center"/>
          </w:tcPr>
          <w:p w14:paraId="5F751653">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0936CD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663" w:type="dxa"/>
            <w:noWrap w:val="0"/>
            <w:vAlign w:val="center"/>
          </w:tcPr>
          <w:p w14:paraId="5CCC8D72">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2</w:t>
            </w:r>
          </w:p>
        </w:tc>
        <w:tc>
          <w:tcPr>
            <w:tcW w:w="2737" w:type="dxa"/>
            <w:noWrap w:val="0"/>
            <w:vAlign w:val="center"/>
          </w:tcPr>
          <w:p w14:paraId="1FD66F31">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2086" w:type="dxa"/>
            <w:noWrap w:val="0"/>
            <w:vAlign w:val="center"/>
          </w:tcPr>
          <w:p w14:paraId="6A26FBDD">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316" w:type="dxa"/>
            <w:noWrap w:val="0"/>
            <w:vAlign w:val="center"/>
          </w:tcPr>
          <w:p w14:paraId="1B496BDB">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809" w:type="dxa"/>
            <w:noWrap w:val="0"/>
            <w:vAlign w:val="center"/>
          </w:tcPr>
          <w:p w14:paraId="4C43EA11">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78" w:type="dxa"/>
            <w:noWrap w:val="0"/>
            <w:vAlign w:val="center"/>
          </w:tcPr>
          <w:p w14:paraId="7D734AE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74" w:type="dxa"/>
            <w:noWrap w:val="0"/>
            <w:vAlign w:val="center"/>
          </w:tcPr>
          <w:p w14:paraId="6432069C">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07" w:type="dxa"/>
            <w:noWrap w:val="0"/>
            <w:vAlign w:val="center"/>
          </w:tcPr>
          <w:p w14:paraId="3ADA80F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62AE1D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663" w:type="dxa"/>
            <w:noWrap w:val="0"/>
            <w:vAlign w:val="center"/>
          </w:tcPr>
          <w:p w14:paraId="32287B52">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3</w:t>
            </w:r>
          </w:p>
        </w:tc>
        <w:tc>
          <w:tcPr>
            <w:tcW w:w="2737" w:type="dxa"/>
            <w:noWrap w:val="0"/>
            <w:vAlign w:val="center"/>
          </w:tcPr>
          <w:p w14:paraId="53D85E15">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2086" w:type="dxa"/>
            <w:noWrap w:val="0"/>
            <w:vAlign w:val="center"/>
          </w:tcPr>
          <w:p w14:paraId="14E0A6B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316" w:type="dxa"/>
            <w:noWrap w:val="0"/>
            <w:vAlign w:val="center"/>
          </w:tcPr>
          <w:p w14:paraId="522F4B46">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809" w:type="dxa"/>
            <w:noWrap w:val="0"/>
            <w:vAlign w:val="center"/>
          </w:tcPr>
          <w:p w14:paraId="3925A3EE">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78" w:type="dxa"/>
            <w:noWrap w:val="0"/>
            <w:vAlign w:val="center"/>
          </w:tcPr>
          <w:p w14:paraId="6D95C74A">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74" w:type="dxa"/>
            <w:noWrap w:val="0"/>
            <w:vAlign w:val="center"/>
          </w:tcPr>
          <w:p w14:paraId="4862BF78">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07" w:type="dxa"/>
            <w:noWrap w:val="0"/>
            <w:vAlign w:val="center"/>
          </w:tcPr>
          <w:p w14:paraId="2472909C">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bl>
    <w:p w14:paraId="6B832EC4">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cs="宋体"/>
          <w:color w:val="auto"/>
        </w:rPr>
      </w:pPr>
      <w:r>
        <w:rPr>
          <w:rFonts w:hint="eastAsia" w:ascii="宋体" w:hAnsi="宋体" w:cs="宋体"/>
          <w:color w:val="auto"/>
        </w:rPr>
        <w:t>备注：1.每一项目符合的打“</w:t>
      </w:r>
      <w:r>
        <w:rPr>
          <w:rFonts w:hint="eastAsia" w:ascii="宋体" w:hAnsi="宋体" w:cs="宋体"/>
          <w:color w:val="auto"/>
          <w:szCs w:val="21"/>
        </w:rPr>
        <w:t>○</w:t>
      </w:r>
      <w:r>
        <w:rPr>
          <w:rFonts w:hint="eastAsia" w:ascii="宋体" w:hAnsi="宋体" w:cs="宋体"/>
          <w:color w:val="auto"/>
        </w:rPr>
        <w:t>”，不符合的打“×”；出现一个“×”的结论为不通过。</w:t>
      </w:r>
    </w:p>
    <w:p w14:paraId="618664DA">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2.表中全部条件满足为通过，同意进入下一阶段评议。</w:t>
      </w:r>
    </w:p>
    <w:p w14:paraId="19694C5C">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3.是否同意进入下一阶段</w:t>
      </w:r>
      <w:r>
        <w:rPr>
          <w:rFonts w:hint="eastAsia" w:ascii="宋体" w:hAnsi="宋体" w:cs="宋体"/>
          <w:b w:val="0"/>
          <w:bCs/>
          <w:color w:val="auto"/>
          <w:sz w:val="21"/>
          <w:szCs w:val="21"/>
          <w:lang w:val="en-US" w:eastAsia="zh-CN"/>
        </w:rPr>
        <w:t>评选</w:t>
      </w:r>
      <w:r>
        <w:rPr>
          <w:rFonts w:hint="eastAsia" w:ascii="宋体" w:hAnsi="宋体" w:cs="宋体"/>
          <w:color w:val="auto"/>
        </w:rPr>
        <w:t>一栏中应写“是”或“否”。</w:t>
      </w:r>
    </w:p>
    <w:p w14:paraId="2E4CC9A6">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p>
    <w:p w14:paraId="7E779560">
      <w:pPr>
        <w:keepNext w:val="0"/>
        <w:keepLines w:val="0"/>
        <w:pageBreakBefore w:val="0"/>
        <w:widowControl w:val="0"/>
        <w:kinsoku/>
        <w:wordWrap/>
        <w:overflowPunct/>
        <w:topLinePunct w:val="0"/>
        <w:autoSpaceDE/>
        <w:autoSpaceDN/>
        <w:bidi w:val="0"/>
        <w:snapToGrid/>
        <w:spacing w:line="460" w:lineRule="exact"/>
        <w:textAlignment w:val="auto"/>
        <w:rPr>
          <w:rFonts w:hint="eastAsia" w:ascii="宋体" w:hAnsi="宋体" w:cs="宋体"/>
          <w:color w:val="auto"/>
        </w:rPr>
      </w:pPr>
      <w:r>
        <w:rPr>
          <w:rFonts w:hint="eastAsia" w:ascii="宋体" w:hAnsi="宋体" w:cs="宋体"/>
          <w:color w:val="auto"/>
        </w:rPr>
        <w:t>评委签名：</w:t>
      </w:r>
      <w:r>
        <w:rPr>
          <w:rFonts w:hint="eastAsia" w:ascii="宋体" w:hAnsi="宋体" w:cs="宋体"/>
          <w:color w:val="auto"/>
          <w:lang w:val="en-US" w:eastAsia="zh-CN"/>
        </w:rPr>
        <w:t xml:space="preserve">                                              </w:t>
      </w:r>
      <w:r>
        <w:rPr>
          <w:rFonts w:hint="eastAsia" w:ascii="宋体" w:hAnsi="宋体" w:cs="宋体"/>
          <w:color w:val="auto"/>
        </w:rPr>
        <w:t>日期：</w:t>
      </w:r>
    </w:p>
    <w:p w14:paraId="70494AC6">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p>
    <w:p w14:paraId="21065832">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val="en-US" w:eastAsia="zh-CN"/>
        </w:rPr>
        <w:t>附表1-2：</w:t>
      </w:r>
      <w:r>
        <w:rPr>
          <w:rFonts w:hint="eastAsia" w:ascii="仿宋_GB2312" w:hAnsi="仿宋_GB2312" w:eastAsia="仿宋_GB2312" w:cs="仿宋_GB2312"/>
          <w:b/>
          <w:bCs/>
          <w:color w:val="auto"/>
          <w:sz w:val="32"/>
          <w:szCs w:val="32"/>
        </w:rPr>
        <w:t>评审标准</w:t>
      </w:r>
      <w:r>
        <w:rPr>
          <w:rFonts w:hint="eastAsia" w:ascii="仿宋_GB2312" w:hAnsi="仿宋_GB2312" w:eastAsia="仿宋_GB2312" w:cs="仿宋_GB2312"/>
          <w:b/>
          <w:bCs/>
          <w:color w:val="auto"/>
          <w:sz w:val="32"/>
          <w:szCs w:val="32"/>
          <w:lang w:val="en-US" w:eastAsia="zh-CN"/>
        </w:rPr>
        <w:t>表（分值构成：商务部分18.0分；技术部分52.0分；价格部分30.0分）</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21"/>
        <w:gridCol w:w="12253"/>
      </w:tblGrid>
      <w:tr w14:paraId="30EFD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top w:val="single" w:color="auto" w:sz="4" w:space="0"/>
              <w:left w:val="single" w:color="auto" w:sz="4" w:space="0"/>
              <w:right w:val="single" w:color="auto" w:sz="4" w:space="0"/>
            </w:tcBorders>
            <w:vAlign w:val="center"/>
          </w:tcPr>
          <w:p w14:paraId="57928E16">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商务部分18.0分</w:t>
            </w:r>
          </w:p>
        </w:tc>
      </w:tr>
      <w:tr w14:paraId="62F92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23" w:hRule="atLeast"/>
        </w:trPr>
        <w:tc>
          <w:tcPr>
            <w:tcW w:w="1921" w:type="dxa"/>
            <w:tcBorders>
              <w:top w:val="single" w:color="auto" w:sz="4" w:space="0"/>
              <w:left w:val="single" w:color="auto" w:sz="4" w:space="0"/>
              <w:bottom w:val="single" w:color="auto" w:sz="4" w:space="0"/>
              <w:right w:val="single" w:color="auto" w:sz="4" w:space="0"/>
            </w:tcBorders>
            <w:vAlign w:val="center"/>
          </w:tcPr>
          <w:p w14:paraId="738F464B">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业绩</w:t>
            </w:r>
          </w:p>
          <w:p w14:paraId="0D985015">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(10.0分）</w:t>
            </w:r>
          </w:p>
        </w:tc>
        <w:tc>
          <w:tcPr>
            <w:tcW w:w="12253" w:type="dxa"/>
            <w:tcBorders>
              <w:top w:val="single" w:color="auto" w:sz="4" w:space="0"/>
              <w:left w:val="single" w:color="auto" w:sz="4" w:space="0"/>
              <w:bottom w:val="single" w:color="auto" w:sz="4" w:space="0"/>
              <w:right w:val="single" w:color="auto" w:sz="4" w:space="0"/>
            </w:tcBorders>
            <w:vAlign w:val="center"/>
          </w:tcPr>
          <w:p w14:paraId="4835B8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自</w:t>
            </w:r>
            <w:r>
              <w:rPr>
                <w:rFonts w:hint="eastAsia" w:ascii="仿宋_GB2312" w:hAnsi="仿宋_GB2312" w:eastAsia="仿宋_GB2312" w:cs="仿宋_GB2312"/>
                <w:b w:val="0"/>
                <w:bCs w:val="0"/>
                <w:color w:val="auto"/>
                <w:sz w:val="24"/>
                <w:szCs w:val="24"/>
                <w:lang w:val="en-US" w:eastAsia="zh-CN"/>
              </w:rPr>
              <w:t>2023</w:t>
            </w:r>
            <w:r>
              <w:rPr>
                <w:rFonts w:hint="eastAsia" w:ascii="仿宋_GB2312" w:hAnsi="仿宋_GB2312" w:eastAsia="仿宋_GB2312" w:cs="仿宋_GB2312"/>
                <w:b w:val="0"/>
                <w:bCs w:val="0"/>
                <w:color w:val="auto"/>
                <w:sz w:val="24"/>
                <w:szCs w:val="24"/>
              </w:rPr>
              <w:t>年</w:t>
            </w:r>
            <w:r>
              <w:rPr>
                <w:rFonts w:hint="eastAsia" w:ascii="仿宋_GB2312" w:hAnsi="仿宋_GB2312" w:eastAsia="仿宋_GB2312" w:cs="仿宋_GB2312"/>
                <w:b w:val="0"/>
                <w:bCs w:val="0"/>
                <w:color w:val="auto"/>
                <w:sz w:val="24"/>
                <w:szCs w:val="24"/>
                <w:lang w:val="en-US" w:eastAsia="zh-CN"/>
              </w:rPr>
              <w:t>1月1日</w:t>
            </w:r>
            <w:r>
              <w:rPr>
                <w:rFonts w:hint="eastAsia" w:ascii="仿宋_GB2312" w:hAnsi="仿宋_GB2312" w:eastAsia="仿宋_GB2312" w:cs="仿宋_GB2312"/>
                <w:b w:val="0"/>
                <w:bCs w:val="0"/>
                <w:color w:val="auto"/>
                <w:sz w:val="24"/>
                <w:szCs w:val="24"/>
              </w:rPr>
              <w:t>至今，</w:t>
            </w:r>
            <w:bookmarkStart w:id="3" w:name="OLE_LINK1"/>
            <w:r>
              <w:rPr>
                <w:rFonts w:hint="eastAsia" w:ascii="仿宋_GB2312" w:hAnsi="仿宋_GB2312" w:eastAsia="仿宋_GB2312" w:cs="仿宋_GB2312"/>
                <w:b w:val="0"/>
                <w:bCs w:val="0"/>
                <w:color w:val="auto"/>
                <w:sz w:val="24"/>
                <w:szCs w:val="24"/>
              </w:rPr>
              <w:t>承接过同类项目业绩，</w:t>
            </w:r>
            <w:bookmarkEnd w:id="3"/>
            <w:r>
              <w:rPr>
                <w:rFonts w:hint="eastAsia" w:ascii="仿宋_GB2312" w:hAnsi="仿宋_GB2312" w:eastAsia="仿宋_GB2312" w:cs="仿宋_GB2312"/>
                <w:b w:val="0"/>
                <w:bCs w:val="0"/>
                <w:color w:val="auto"/>
                <w:sz w:val="24"/>
                <w:szCs w:val="24"/>
              </w:rPr>
              <w:t>每个业绩得</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分，最高得</w:t>
            </w: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b w:val="0"/>
                <w:bCs w:val="0"/>
                <w:color w:val="auto"/>
                <w:sz w:val="24"/>
                <w:szCs w:val="24"/>
              </w:rPr>
              <w:t xml:space="preserve">分。 </w:t>
            </w:r>
          </w:p>
          <w:p w14:paraId="303F16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注：业绩时间以签订合同时间为准，提供复印件并加盖公章，未按要求提供的不得分。</w:t>
            </w:r>
          </w:p>
          <w:p w14:paraId="53AD545D">
            <w:pPr>
              <w:pStyle w:val="2"/>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【注：响应文件中须提供项目合同复印件加盖供应商公章作为证明材料，同一个项目多份合同（如按年签订）不可重复得分，资料不齐全或未提供或专家无法认定的不得分】</w:t>
            </w:r>
          </w:p>
        </w:tc>
      </w:tr>
      <w:tr w14:paraId="5B0A9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44" w:hRule="atLeast"/>
        </w:trPr>
        <w:tc>
          <w:tcPr>
            <w:tcW w:w="1921" w:type="dxa"/>
            <w:tcBorders>
              <w:top w:val="single" w:color="auto" w:sz="4" w:space="0"/>
              <w:left w:val="single" w:color="auto" w:sz="4" w:space="0"/>
              <w:bottom w:val="single" w:color="auto" w:sz="4" w:space="0"/>
              <w:right w:val="single" w:color="auto" w:sz="4" w:space="0"/>
            </w:tcBorders>
            <w:vAlign w:val="center"/>
          </w:tcPr>
          <w:p w14:paraId="3ED2BA0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用户评价</w:t>
            </w:r>
          </w:p>
          <w:p w14:paraId="70333C2C">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(5.0分）</w:t>
            </w:r>
          </w:p>
        </w:tc>
        <w:tc>
          <w:tcPr>
            <w:tcW w:w="12253" w:type="dxa"/>
            <w:tcBorders>
              <w:top w:val="single" w:color="auto" w:sz="4" w:space="0"/>
              <w:left w:val="single" w:color="auto" w:sz="4" w:space="0"/>
              <w:bottom w:val="single" w:color="auto" w:sz="4" w:space="0"/>
              <w:right w:val="single" w:color="auto" w:sz="4" w:space="0"/>
            </w:tcBorders>
            <w:vAlign w:val="center"/>
          </w:tcPr>
          <w:p w14:paraId="688A1AA6">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上述“同类业绩”评审项在评分中被核定为有效业绩的项目进行评审：</w:t>
            </w:r>
          </w:p>
          <w:p w14:paraId="738F71CD">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获得用户满意度评定为优或类似表述如优秀、好评、满意、90分以上等，每个得</w:t>
            </w:r>
            <w:r>
              <w:rPr>
                <w:rFonts w:hint="eastAsia" w:ascii="仿宋_GB2312" w:hAnsi="仿宋_GB2312" w:eastAsia="仿宋_GB2312" w:cs="仿宋_GB2312"/>
                <w:b w:val="0"/>
                <w:bCs w:val="0"/>
                <w:color w:val="auto"/>
                <w:sz w:val="24"/>
                <w:szCs w:val="24"/>
                <w:lang w:val="en-US" w:eastAsia="zh-CN"/>
              </w:rPr>
              <w:t>1</w:t>
            </w:r>
            <w:r>
              <w:rPr>
                <w:rFonts w:hint="eastAsia" w:ascii="仿宋_GB2312" w:hAnsi="仿宋_GB2312" w:eastAsia="仿宋_GB2312" w:cs="仿宋_GB2312"/>
                <w:b w:val="0"/>
                <w:bCs w:val="0"/>
                <w:color w:val="auto"/>
                <w:sz w:val="24"/>
                <w:szCs w:val="24"/>
              </w:rPr>
              <w:t>分，本项最高</w:t>
            </w:r>
            <w:r>
              <w:rPr>
                <w:rFonts w:hint="eastAsia" w:ascii="仿宋_GB2312" w:hAnsi="仿宋_GB2312" w:eastAsia="仿宋_GB2312" w:cs="仿宋_GB2312"/>
                <w:b w:val="0"/>
                <w:bCs w:val="0"/>
                <w:color w:val="auto"/>
                <w:sz w:val="24"/>
                <w:szCs w:val="24"/>
                <w:lang w:val="en-US" w:eastAsia="zh-CN"/>
              </w:rPr>
              <w:t>5</w:t>
            </w:r>
            <w:r>
              <w:rPr>
                <w:rFonts w:hint="eastAsia" w:ascii="仿宋_GB2312" w:hAnsi="仿宋_GB2312" w:eastAsia="仿宋_GB2312" w:cs="仿宋_GB2312"/>
                <w:b w:val="0"/>
                <w:bCs w:val="0"/>
                <w:color w:val="auto"/>
                <w:sz w:val="24"/>
                <w:szCs w:val="24"/>
              </w:rPr>
              <w:t>分，其他等级不得分。</w:t>
            </w:r>
          </w:p>
          <w:p w14:paraId="360158F1">
            <w:pPr>
              <w:pStyle w:val="2"/>
              <w:rPr>
                <w:rFonts w:hint="eastAsia"/>
              </w:rPr>
            </w:pPr>
            <w:r>
              <w:rPr>
                <w:rFonts w:hint="eastAsia" w:ascii="仿宋_GB2312" w:hAnsi="仿宋_GB2312" w:eastAsia="仿宋_GB2312" w:cs="仿宋_GB2312"/>
                <w:b w:val="0"/>
                <w:bCs w:val="0"/>
                <w:color w:val="auto"/>
                <w:sz w:val="24"/>
                <w:szCs w:val="24"/>
              </w:rPr>
              <w:t>【注：</w:t>
            </w:r>
            <w:r>
              <w:rPr>
                <w:rFonts w:hint="eastAsia" w:ascii="仿宋_GB2312" w:hAnsi="仿宋_GB2312" w:eastAsia="仿宋_GB2312" w:cs="仿宋_GB2312"/>
                <w:b w:val="0"/>
                <w:bCs w:val="0"/>
                <w:color w:val="auto"/>
                <w:sz w:val="24"/>
                <w:szCs w:val="24"/>
                <w:lang w:eastAsia="zh-CN"/>
              </w:rPr>
              <w:t>响应文件</w:t>
            </w:r>
            <w:r>
              <w:rPr>
                <w:rFonts w:hint="eastAsia" w:ascii="仿宋_GB2312" w:hAnsi="仿宋_GB2312" w:eastAsia="仿宋_GB2312" w:cs="仿宋_GB2312"/>
                <w:b w:val="0"/>
                <w:bCs w:val="0"/>
                <w:color w:val="auto"/>
                <w:sz w:val="24"/>
                <w:szCs w:val="24"/>
              </w:rPr>
              <w:t>中须提供对应合同业主评价或服务单位考核评价资料复印件（须有业主单位盖章）并加盖</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公章，不对应或不按要求提供的不得分</w:t>
            </w:r>
            <w:r>
              <w:rPr>
                <w:rFonts w:hint="eastAsia" w:ascii="仿宋_GB2312" w:hAnsi="仿宋_GB2312" w:eastAsia="仿宋_GB2312" w:cs="仿宋_GB2312"/>
                <w:b w:val="0"/>
                <w:bCs w:val="0"/>
                <w:color w:val="auto"/>
                <w:sz w:val="24"/>
                <w:szCs w:val="24"/>
                <w:lang w:eastAsia="zh-CN"/>
              </w:rPr>
              <w:t>】</w:t>
            </w:r>
          </w:p>
        </w:tc>
      </w:tr>
      <w:tr w14:paraId="42ACE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23" w:hRule="atLeast"/>
        </w:trPr>
        <w:tc>
          <w:tcPr>
            <w:tcW w:w="1921" w:type="dxa"/>
            <w:tcBorders>
              <w:top w:val="single" w:color="auto" w:sz="4" w:space="0"/>
              <w:left w:val="single" w:color="auto" w:sz="4" w:space="0"/>
              <w:bottom w:val="single" w:color="auto" w:sz="4" w:space="0"/>
              <w:right w:val="single" w:color="auto" w:sz="4" w:space="0"/>
            </w:tcBorders>
            <w:vAlign w:val="center"/>
          </w:tcPr>
          <w:p w14:paraId="1D65603E">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企业认证 </w:t>
            </w:r>
          </w:p>
          <w:p w14:paraId="715EF6F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(3.0分）</w:t>
            </w:r>
          </w:p>
        </w:tc>
        <w:tc>
          <w:tcPr>
            <w:tcW w:w="12253" w:type="dxa"/>
            <w:tcBorders>
              <w:top w:val="single" w:color="auto" w:sz="4" w:space="0"/>
              <w:left w:val="single" w:color="auto" w:sz="4" w:space="0"/>
              <w:bottom w:val="single" w:color="auto" w:sz="4" w:space="0"/>
              <w:right w:val="single" w:color="auto" w:sz="4" w:space="0"/>
            </w:tcBorders>
            <w:vAlign w:val="center"/>
          </w:tcPr>
          <w:p w14:paraId="080A76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val="0"/>
                <w:bCs w:val="0"/>
                <w:color w:val="auto"/>
                <w:sz w:val="24"/>
                <w:szCs w:val="24"/>
                <w:lang w:eastAsia="zh-CN"/>
              </w:rPr>
              <w:t>根据</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lang w:eastAsia="zh-CN"/>
              </w:rPr>
              <w:t>的企业认证情况进行评审：</w:t>
            </w:r>
          </w:p>
          <w:p w14:paraId="599104D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val="0"/>
                <w:bCs w:val="0"/>
                <w:color w:val="auto"/>
                <w:sz w:val="24"/>
                <w:szCs w:val="24"/>
                <w:lang w:eastAsia="zh-CN"/>
              </w:rPr>
              <w:t xml:space="preserve">提供有效的质量管理体系认证证书（认证范围与本项目采购的医疗器械相关）、环境管理体系认证证书（认证范围与本项目采购的医疗器械相关）、职业健康安全管理体系认证证书（认证范围与本项目采购的医疗器械相关），每提供一个得1分，本项最高得3分。 </w:t>
            </w:r>
          </w:p>
          <w:p w14:paraId="15B63D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val="0"/>
                <w:bCs w:val="0"/>
                <w:color w:val="auto"/>
                <w:sz w:val="24"/>
                <w:szCs w:val="24"/>
                <w:lang w:eastAsia="zh-CN"/>
              </w:rPr>
              <w:t>【注：①</w:t>
            </w:r>
            <w:r>
              <w:rPr>
                <w:rFonts w:hint="eastAsia" w:ascii="仿宋_GB2312" w:hAnsi="仿宋_GB2312" w:eastAsia="仿宋_GB2312" w:cs="仿宋_GB2312"/>
                <w:b w:val="0"/>
                <w:bCs w:val="0"/>
                <w:color w:val="auto"/>
                <w:sz w:val="24"/>
                <w:szCs w:val="24"/>
                <w:lang w:val="en-US" w:eastAsia="zh-CN"/>
              </w:rPr>
              <w:t>响应</w:t>
            </w:r>
            <w:r>
              <w:rPr>
                <w:rFonts w:hint="eastAsia" w:ascii="仿宋_GB2312" w:hAnsi="仿宋_GB2312" w:eastAsia="仿宋_GB2312" w:cs="仿宋_GB2312"/>
                <w:b w:val="0"/>
                <w:bCs w:val="0"/>
                <w:color w:val="auto"/>
                <w:sz w:val="24"/>
                <w:szCs w:val="24"/>
                <w:lang w:eastAsia="zh-CN"/>
              </w:rPr>
              <w:t>文件中须提供相关证书在“全国认证认可信息公共服务平台网站（http://www.cnca.gov.cn/）”查询结果的截图，截图须显示证书编号及有效期，在</w:t>
            </w:r>
            <w:r>
              <w:rPr>
                <w:rFonts w:hint="eastAsia" w:ascii="仿宋_GB2312" w:hAnsi="仿宋_GB2312" w:eastAsia="仿宋_GB2312" w:cs="仿宋_GB2312"/>
                <w:b w:val="0"/>
                <w:bCs w:val="0"/>
                <w:color w:val="auto"/>
                <w:sz w:val="24"/>
                <w:szCs w:val="24"/>
                <w:lang w:val="en-US" w:eastAsia="zh-CN"/>
              </w:rPr>
              <w:t>响应</w:t>
            </w:r>
            <w:r>
              <w:rPr>
                <w:rFonts w:hint="eastAsia" w:ascii="仿宋_GB2312" w:hAnsi="仿宋_GB2312" w:eastAsia="仿宋_GB2312" w:cs="仿宋_GB2312"/>
                <w:b w:val="0"/>
                <w:bCs w:val="0"/>
                <w:color w:val="auto"/>
                <w:sz w:val="24"/>
                <w:szCs w:val="24"/>
                <w:lang w:eastAsia="zh-CN"/>
              </w:rPr>
              <w:t>截止时间前证书已失效或撤销的不得分。</w:t>
            </w:r>
          </w:p>
          <w:p w14:paraId="509666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lang w:val="en-US" w:eastAsia="zh-CN"/>
              </w:rPr>
            </w:pPr>
            <w:r>
              <w:rPr>
                <w:rFonts w:hint="eastAsia" w:ascii="仿宋_GB2312" w:hAnsi="仿宋_GB2312" w:eastAsia="仿宋_GB2312" w:cs="仿宋_GB2312"/>
                <w:b w:val="0"/>
                <w:bCs w:val="0"/>
                <w:color w:val="auto"/>
                <w:sz w:val="24"/>
                <w:szCs w:val="24"/>
                <w:lang w:eastAsia="zh-CN"/>
              </w:rPr>
              <w:t>②上述资料均须加盖</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lang w:eastAsia="zh-CN"/>
              </w:rPr>
              <w:t>公章，如不对应或不提供或不按要求提供不得分。】</w:t>
            </w:r>
          </w:p>
        </w:tc>
      </w:tr>
      <w:tr w14:paraId="0F567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4174" w:type="dxa"/>
            <w:gridSpan w:val="2"/>
            <w:tcBorders>
              <w:top w:val="single" w:color="auto" w:sz="4" w:space="0"/>
              <w:left w:val="single" w:color="auto" w:sz="4" w:space="0"/>
              <w:right w:val="single" w:color="auto" w:sz="4" w:space="0"/>
            </w:tcBorders>
            <w:vAlign w:val="center"/>
          </w:tcPr>
          <w:p w14:paraId="58CEBA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技术部分52.0分</w:t>
            </w:r>
          </w:p>
        </w:tc>
      </w:tr>
      <w:tr w14:paraId="7B1A8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84" w:hRule="atLeast"/>
        </w:trPr>
        <w:tc>
          <w:tcPr>
            <w:tcW w:w="1921" w:type="dxa"/>
            <w:tcBorders>
              <w:top w:val="single" w:color="auto" w:sz="4" w:space="0"/>
              <w:left w:val="single" w:color="auto" w:sz="4" w:space="0"/>
              <w:bottom w:val="single" w:color="auto" w:sz="4" w:space="0"/>
              <w:right w:val="single" w:color="auto" w:sz="4" w:space="0"/>
            </w:tcBorders>
            <w:vAlign w:val="center"/>
          </w:tcPr>
          <w:p w14:paraId="4671559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所投货物配置、选型及供货能力 (13.0分）</w:t>
            </w:r>
          </w:p>
        </w:tc>
        <w:tc>
          <w:tcPr>
            <w:tcW w:w="12253" w:type="dxa"/>
            <w:tcBorders>
              <w:top w:val="single" w:color="auto" w:sz="4" w:space="0"/>
              <w:left w:val="single" w:color="auto" w:sz="4" w:space="0"/>
              <w:bottom w:val="single" w:color="auto" w:sz="4" w:space="0"/>
              <w:right w:val="single" w:color="auto" w:sz="4" w:space="0"/>
            </w:tcBorders>
            <w:vAlign w:val="center"/>
          </w:tcPr>
          <w:p w14:paraId="020FB3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提供的所投货物配置、选型及供货能力（内容包括但不限于：产品配置、产品性能、实用性以及耐用性、供货时间、供货渠道）进行评审：</w:t>
            </w:r>
          </w:p>
          <w:p w14:paraId="7FC4B3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（1）所投货物配置、选型及性能完全满足采购需求，实用性以及耐用性高，供货及时，具有稳定供货渠道的，得</w:t>
            </w:r>
            <w:r>
              <w:rPr>
                <w:rFonts w:hint="eastAsia" w:ascii="仿宋_GB2312" w:hAnsi="仿宋_GB2312" w:eastAsia="仿宋_GB2312" w:cs="仿宋_GB2312"/>
                <w:b w:val="0"/>
                <w:bCs w:val="0"/>
                <w:color w:val="auto"/>
                <w:sz w:val="24"/>
                <w:szCs w:val="24"/>
                <w:lang w:val="en-US" w:eastAsia="zh-CN"/>
              </w:rPr>
              <w:t>13</w:t>
            </w:r>
            <w:r>
              <w:rPr>
                <w:rFonts w:hint="eastAsia" w:ascii="仿宋_GB2312" w:hAnsi="仿宋_GB2312" w:eastAsia="仿宋_GB2312" w:cs="仿宋_GB2312"/>
                <w:b w:val="0"/>
                <w:bCs w:val="0"/>
                <w:color w:val="auto"/>
                <w:sz w:val="24"/>
                <w:szCs w:val="24"/>
              </w:rPr>
              <w:t>分；</w:t>
            </w:r>
          </w:p>
          <w:p w14:paraId="6BB548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（2）所投货物配置、选型、性能及供货能力基本满足采购需求，实用性以及耐用性一般的，得</w:t>
            </w:r>
            <w:r>
              <w:rPr>
                <w:rFonts w:hint="eastAsia" w:ascii="仿宋_GB2312" w:hAnsi="仿宋_GB2312" w:eastAsia="仿宋_GB2312" w:cs="仿宋_GB2312"/>
                <w:b w:val="0"/>
                <w:bCs w:val="0"/>
                <w:color w:val="auto"/>
                <w:sz w:val="24"/>
                <w:szCs w:val="24"/>
                <w:lang w:val="en-US" w:eastAsia="zh-CN"/>
              </w:rPr>
              <w:t>8</w:t>
            </w:r>
            <w:r>
              <w:rPr>
                <w:rFonts w:hint="eastAsia" w:ascii="仿宋_GB2312" w:hAnsi="仿宋_GB2312" w:eastAsia="仿宋_GB2312" w:cs="仿宋_GB2312"/>
                <w:b w:val="0"/>
                <w:bCs w:val="0"/>
                <w:color w:val="auto"/>
                <w:sz w:val="24"/>
                <w:szCs w:val="24"/>
              </w:rPr>
              <w:t>分；</w:t>
            </w:r>
          </w:p>
          <w:p w14:paraId="6161FF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（3）所投货物配置、选型及供货能力基本不满足采购需求，实用性以及耐用性较差的，得</w:t>
            </w:r>
            <w:r>
              <w:rPr>
                <w:rFonts w:hint="eastAsia" w:ascii="仿宋_GB2312" w:hAnsi="仿宋_GB2312" w:eastAsia="仿宋_GB2312" w:cs="仿宋_GB2312"/>
                <w:b w:val="0"/>
                <w:bCs w:val="0"/>
                <w:color w:val="auto"/>
                <w:sz w:val="24"/>
                <w:szCs w:val="24"/>
                <w:lang w:val="en-US" w:eastAsia="zh-CN"/>
              </w:rPr>
              <w:t>3</w:t>
            </w:r>
            <w:r>
              <w:rPr>
                <w:rFonts w:hint="eastAsia" w:ascii="仿宋_GB2312" w:hAnsi="仿宋_GB2312" w:eastAsia="仿宋_GB2312" w:cs="仿宋_GB2312"/>
                <w:b w:val="0"/>
                <w:bCs w:val="0"/>
                <w:color w:val="auto"/>
                <w:sz w:val="24"/>
                <w:szCs w:val="24"/>
              </w:rPr>
              <w:t>分。</w:t>
            </w:r>
          </w:p>
          <w:p w14:paraId="30006F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eastAsia="仿宋_GB2312"/>
                <w:color w:val="auto"/>
                <w:sz w:val="24"/>
                <w:szCs w:val="24"/>
                <w:lang w:val="en-US" w:eastAsia="zh-CN"/>
              </w:rPr>
            </w:pPr>
            <w:r>
              <w:rPr>
                <w:rFonts w:hint="eastAsia" w:ascii="仿宋_GB2312" w:hAnsi="仿宋_GB2312" w:eastAsia="仿宋_GB2312" w:cs="仿宋_GB2312"/>
                <w:b w:val="0"/>
                <w:bCs w:val="0"/>
                <w:color w:val="auto"/>
                <w:sz w:val="24"/>
                <w:szCs w:val="24"/>
              </w:rPr>
              <w:t>（4）所投货物配置、选型及供货能力不满足采购需求或未提供相关内容阐述的，得0分。</w:t>
            </w:r>
          </w:p>
        </w:tc>
      </w:tr>
      <w:tr w14:paraId="450EA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71" w:hRule="atLeast"/>
        </w:trPr>
        <w:tc>
          <w:tcPr>
            <w:tcW w:w="1921" w:type="dxa"/>
            <w:tcBorders>
              <w:top w:val="single" w:color="auto" w:sz="4" w:space="0"/>
              <w:left w:val="single" w:color="auto" w:sz="4" w:space="0"/>
              <w:bottom w:val="single" w:color="auto" w:sz="4" w:space="0"/>
              <w:right w:val="single" w:color="auto" w:sz="4" w:space="0"/>
            </w:tcBorders>
            <w:vAlign w:val="center"/>
          </w:tcPr>
          <w:p w14:paraId="1286EC9E">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质量保证措施</w:t>
            </w:r>
          </w:p>
          <w:p w14:paraId="12DA1C30">
            <w:pPr>
              <w:pStyle w:val="2"/>
              <w:jc w:val="center"/>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(13.0分）</w:t>
            </w:r>
          </w:p>
        </w:tc>
        <w:tc>
          <w:tcPr>
            <w:tcW w:w="12253" w:type="dxa"/>
            <w:tcBorders>
              <w:top w:val="single" w:color="auto" w:sz="4" w:space="0"/>
              <w:left w:val="single" w:color="auto" w:sz="4" w:space="0"/>
              <w:bottom w:val="single" w:color="auto" w:sz="4" w:space="0"/>
              <w:right w:val="single" w:color="auto" w:sz="4" w:space="0"/>
            </w:tcBorders>
            <w:vAlign w:val="center"/>
          </w:tcPr>
          <w:p w14:paraId="2B2865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提供的质量保证措施（内容包括但不限于：设备运输保障、进度计划安排）进行评审：</w:t>
            </w:r>
          </w:p>
          <w:p w14:paraId="0E6194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（1）措施全面具体、计划详细可行，能完全满足采购需求及项目实施要求的，得</w:t>
            </w:r>
            <w:r>
              <w:rPr>
                <w:rFonts w:hint="eastAsia" w:ascii="仿宋_GB2312" w:hAnsi="仿宋_GB2312" w:eastAsia="仿宋_GB2312" w:cs="仿宋_GB2312"/>
                <w:b w:val="0"/>
                <w:bCs w:val="0"/>
                <w:color w:val="auto"/>
                <w:sz w:val="24"/>
                <w:szCs w:val="24"/>
                <w:lang w:val="en-US" w:eastAsia="zh-CN"/>
              </w:rPr>
              <w:t>13</w:t>
            </w:r>
            <w:r>
              <w:rPr>
                <w:rFonts w:hint="eastAsia" w:ascii="仿宋_GB2312" w:hAnsi="仿宋_GB2312" w:eastAsia="仿宋_GB2312" w:cs="仿宋_GB2312"/>
                <w:b w:val="0"/>
                <w:bCs w:val="0"/>
                <w:color w:val="auto"/>
                <w:sz w:val="24"/>
                <w:szCs w:val="24"/>
              </w:rPr>
              <w:t>分；</w:t>
            </w:r>
          </w:p>
          <w:p w14:paraId="0917F3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（2）措施基本全面、计划可行性较好，能基本满足采购需求及项目实施要求的，得</w:t>
            </w:r>
            <w:r>
              <w:rPr>
                <w:rFonts w:hint="eastAsia" w:ascii="仿宋_GB2312" w:hAnsi="仿宋_GB2312" w:eastAsia="仿宋_GB2312" w:cs="仿宋_GB2312"/>
                <w:b w:val="0"/>
                <w:bCs w:val="0"/>
                <w:color w:val="auto"/>
                <w:sz w:val="24"/>
                <w:szCs w:val="24"/>
                <w:lang w:val="en-US" w:eastAsia="zh-CN"/>
              </w:rPr>
              <w:t>8</w:t>
            </w:r>
            <w:r>
              <w:rPr>
                <w:rFonts w:hint="eastAsia" w:ascii="仿宋_GB2312" w:hAnsi="仿宋_GB2312" w:eastAsia="仿宋_GB2312" w:cs="仿宋_GB2312"/>
                <w:b w:val="0"/>
                <w:bCs w:val="0"/>
                <w:color w:val="auto"/>
                <w:sz w:val="24"/>
                <w:szCs w:val="24"/>
              </w:rPr>
              <w:t>分；</w:t>
            </w:r>
          </w:p>
          <w:p w14:paraId="1C2EFE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（3）措施部分不全面、计划可行性一般，对采购需求的响应一般的，得</w:t>
            </w:r>
            <w:r>
              <w:rPr>
                <w:rFonts w:hint="eastAsia" w:ascii="仿宋_GB2312" w:hAnsi="仿宋_GB2312" w:eastAsia="仿宋_GB2312" w:cs="仿宋_GB2312"/>
                <w:b w:val="0"/>
                <w:bCs w:val="0"/>
                <w:color w:val="auto"/>
                <w:sz w:val="24"/>
                <w:szCs w:val="24"/>
                <w:lang w:val="en-US" w:eastAsia="zh-CN"/>
              </w:rPr>
              <w:t>3</w:t>
            </w:r>
            <w:r>
              <w:rPr>
                <w:rFonts w:hint="eastAsia" w:ascii="仿宋_GB2312" w:hAnsi="仿宋_GB2312" w:eastAsia="仿宋_GB2312" w:cs="仿宋_GB2312"/>
                <w:b w:val="0"/>
                <w:bCs w:val="0"/>
                <w:color w:val="auto"/>
                <w:sz w:val="24"/>
                <w:szCs w:val="24"/>
              </w:rPr>
              <w:t>分；</w:t>
            </w:r>
          </w:p>
          <w:p w14:paraId="59C919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（4）措施不全面、计划可行性差，无法满足采购需求或未提供相关内容阐述的，得0分。</w:t>
            </w:r>
          </w:p>
        </w:tc>
      </w:tr>
      <w:tr w14:paraId="5E8EC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79" w:hRule="atLeast"/>
        </w:trPr>
        <w:tc>
          <w:tcPr>
            <w:tcW w:w="1921" w:type="dxa"/>
            <w:tcBorders>
              <w:top w:val="single" w:color="auto" w:sz="4" w:space="0"/>
              <w:left w:val="single" w:color="auto" w:sz="4" w:space="0"/>
              <w:bottom w:val="single" w:color="auto" w:sz="4" w:space="0"/>
              <w:right w:val="single" w:color="auto" w:sz="4" w:space="0"/>
            </w:tcBorders>
            <w:vAlign w:val="center"/>
          </w:tcPr>
          <w:p w14:paraId="2BCF7604">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安装验收措施 (13.0分）</w:t>
            </w:r>
          </w:p>
        </w:tc>
        <w:tc>
          <w:tcPr>
            <w:tcW w:w="12253" w:type="dxa"/>
            <w:tcBorders>
              <w:top w:val="single" w:color="auto" w:sz="4" w:space="0"/>
              <w:left w:val="single" w:color="auto" w:sz="4" w:space="0"/>
              <w:bottom w:val="single" w:color="auto" w:sz="4" w:space="0"/>
              <w:right w:val="single" w:color="auto" w:sz="4" w:space="0"/>
            </w:tcBorders>
            <w:vAlign w:val="center"/>
          </w:tcPr>
          <w:p w14:paraId="6873CB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根据供应商提供的安装验收措施（内容包括但不限于：安装实施规范、测试验收标准）进行评审：</w:t>
            </w:r>
          </w:p>
          <w:p w14:paraId="72073B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（1）安装、检测、验收计划条理清晰，操作性强，系统科学、合理可行的，得13分；</w:t>
            </w:r>
          </w:p>
          <w:p w14:paraId="365801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（2）安装、检测、验收计划条理较清晰，操作性、科学性与合理性较强的，得8分；</w:t>
            </w:r>
          </w:p>
          <w:p w14:paraId="67B63C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（3）安装、检测、验收计划条理一般，操作性、科学性与合理性一般的，得3分；</w:t>
            </w:r>
          </w:p>
          <w:p w14:paraId="55ECD5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sz w:val="24"/>
                <w:szCs w:val="24"/>
                <w:lang w:val="en-US" w:eastAsia="zh-CN"/>
              </w:rPr>
              <w:t>（4）安装、检测、验收计划条理模糊，操作性、科学性与合理性差或未提供相关内容阐述的，得0分。</w:t>
            </w:r>
          </w:p>
        </w:tc>
      </w:tr>
      <w:tr w14:paraId="43E72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74" w:hRule="atLeast"/>
        </w:trPr>
        <w:tc>
          <w:tcPr>
            <w:tcW w:w="1921" w:type="dxa"/>
            <w:tcBorders>
              <w:top w:val="single" w:color="auto" w:sz="4" w:space="0"/>
              <w:left w:val="single" w:color="auto" w:sz="4" w:space="0"/>
              <w:bottom w:val="single" w:color="auto" w:sz="4" w:space="0"/>
              <w:right w:val="single" w:color="auto" w:sz="4" w:space="0"/>
            </w:tcBorders>
            <w:vAlign w:val="center"/>
          </w:tcPr>
          <w:p w14:paraId="75CA02A6">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售后服务方案 </w:t>
            </w:r>
          </w:p>
          <w:p w14:paraId="1567C42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(13.0分）</w:t>
            </w:r>
          </w:p>
        </w:tc>
        <w:tc>
          <w:tcPr>
            <w:tcW w:w="12253" w:type="dxa"/>
            <w:tcBorders>
              <w:top w:val="single" w:color="auto" w:sz="4" w:space="0"/>
              <w:left w:val="single" w:color="auto" w:sz="4" w:space="0"/>
              <w:bottom w:val="single" w:color="auto" w:sz="4" w:space="0"/>
              <w:right w:val="single" w:color="auto" w:sz="4" w:space="0"/>
            </w:tcBorders>
            <w:vAlign w:val="center"/>
          </w:tcPr>
          <w:p w14:paraId="1107C0AC">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根据供应商提供的售后服务方案（包括但不限于：售后服务承诺；售后服务团队；需求响应和维护保养、应急维修的流程及规范）进行评审：</w:t>
            </w:r>
          </w:p>
          <w:p w14:paraId="194B0E0F">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（1）售后服务方案详细具体，承诺具体可行，团队支</w:t>
            </w:r>
            <w:bookmarkStart w:id="4" w:name="_GoBack"/>
            <w:r>
              <w:rPr>
                <w:rFonts w:hint="eastAsia" w:ascii="仿宋_GB2312" w:hAnsi="仿宋_GB2312" w:eastAsia="仿宋_GB2312" w:cs="仿宋_GB2312"/>
                <w:b w:val="0"/>
                <w:bCs w:val="0"/>
                <w:color w:val="auto"/>
                <w:sz w:val="24"/>
                <w:szCs w:val="24"/>
                <w:lang w:val="en-US" w:eastAsia="zh-CN"/>
              </w:rPr>
              <w:t>撑</w:t>
            </w:r>
            <w:bookmarkEnd w:id="4"/>
            <w:r>
              <w:rPr>
                <w:rFonts w:hint="eastAsia" w:ascii="仿宋_GB2312" w:hAnsi="仿宋_GB2312" w:eastAsia="仿宋_GB2312" w:cs="仿宋_GB2312"/>
                <w:b w:val="0"/>
                <w:bCs w:val="0"/>
                <w:color w:val="auto"/>
                <w:sz w:val="24"/>
                <w:szCs w:val="24"/>
                <w:lang w:val="en-US" w:eastAsia="zh-CN"/>
              </w:rPr>
              <w:t xml:space="preserve">力强，流程及规范完善，科学合理、针对性和专业性强，得13分； </w:t>
            </w:r>
          </w:p>
          <w:p w14:paraId="7EB2D7E9">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（2）售后服务方案较详细，承诺基本可行，团队支撑力较强，流程及规范基本完善，科学性、合理性、针对性和专业性较强，得8分；</w:t>
            </w:r>
          </w:p>
          <w:p w14:paraId="6CBDDC25">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（3）售后服务方案详细程度一般，承诺部分可行，团队支撑力一般，流程及规范完善程度一般，科学性、合理性、针对性和专业性一般，得3分；</w:t>
            </w:r>
          </w:p>
          <w:p w14:paraId="65D29EC0">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lang w:val="en-US" w:eastAsia="zh-CN"/>
              </w:rPr>
            </w:pPr>
            <w:r>
              <w:rPr>
                <w:rFonts w:hint="eastAsia" w:ascii="仿宋_GB2312" w:hAnsi="仿宋_GB2312" w:eastAsia="仿宋_GB2312" w:cs="仿宋_GB2312"/>
                <w:b w:val="0"/>
                <w:bCs w:val="0"/>
                <w:color w:val="auto"/>
                <w:sz w:val="24"/>
                <w:szCs w:val="24"/>
                <w:lang w:val="en-US" w:eastAsia="zh-CN"/>
              </w:rPr>
              <w:t>（4）售后服务方案简单，承诺不可行，团队支撑力较差，流程及规范不完善，科学性、合理性、针对性和专业性差，或未提供相关内容阐述的，得0分。</w:t>
            </w:r>
          </w:p>
        </w:tc>
      </w:tr>
      <w:tr w14:paraId="6F4ED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left w:val="single" w:color="auto" w:sz="4" w:space="0"/>
              <w:right w:val="single" w:color="auto" w:sz="4" w:space="0"/>
            </w:tcBorders>
            <w:vAlign w:val="center"/>
          </w:tcPr>
          <w:p w14:paraId="2D1D0F21">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bCs/>
                <w:color w:val="auto"/>
                <w:sz w:val="32"/>
                <w:szCs w:val="32"/>
                <w:lang w:val="en-US" w:eastAsia="zh-CN"/>
              </w:rPr>
              <w:t>价格部分30.0分</w:t>
            </w:r>
          </w:p>
        </w:tc>
      </w:tr>
      <w:tr w14:paraId="7DA85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6" w:hRule="atLeast"/>
        </w:trPr>
        <w:tc>
          <w:tcPr>
            <w:tcW w:w="1921" w:type="dxa"/>
            <w:tcBorders>
              <w:top w:val="single" w:color="auto" w:sz="4" w:space="0"/>
              <w:left w:val="single" w:color="auto" w:sz="4" w:space="0"/>
              <w:bottom w:val="single" w:color="auto" w:sz="4" w:space="0"/>
              <w:right w:val="single" w:color="auto" w:sz="4" w:space="0"/>
            </w:tcBorders>
            <w:vAlign w:val="center"/>
          </w:tcPr>
          <w:p w14:paraId="5D308240">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 xml:space="preserve">得分 </w:t>
            </w:r>
          </w:p>
          <w:p w14:paraId="2772EBB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w:t>
            </w:r>
            <w:r>
              <w:rPr>
                <w:rFonts w:hint="eastAsia" w:ascii="仿宋_GB2312" w:hAnsi="仿宋_GB2312" w:eastAsia="仿宋_GB2312" w:cs="仿宋_GB2312"/>
                <w:b w:val="0"/>
                <w:bCs w:val="0"/>
                <w:color w:val="auto"/>
                <w:sz w:val="24"/>
                <w:szCs w:val="24"/>
                <w:lang w:val="en-US" w:eastAsia="zh-CN"/>
              </w:rPr>
              <w:t>3</w:t>
            </w:r>
            <w:r>
              <w:rPr>
                <w:rFonts w:hint="eastAsia" w:ascii="仿宋_GB2312" w:hAnsi="仿宋_GB2312" w:eastAsia="仿宋_GB2312" w:cs="仿宋_GB2312"/>
                <w:b w:val="0"/>
                <w:bCs w:val="0"/>
                <w:color w:val="auto"/>
                <w:sz w:val="24"/>
                <w:szCs w:val="24"/>
              </w:rPr>
              <w:t>0.0分</w:t>
            </w:r>
            <w:r>
              <w:rPr>
                <w:rFonts w:hint="eastAsia" w:ascii="仿宋_GB2312" w:hAnsi="仿宋_GB2312" w:eastAsia="仿宋_GB2312" w:cs="仿宋_GB2312"/>
                <w:b w:val="0"/>
                <w:bCs w:val="0"/>
                <w:color w:val="auto"/>
                <w:sz w:val="24"/>
                <w:szCs w:val="24"/>
                <w:lang w:eastAsia="zh-CN"/>
              </w:rPr>
              <w:t>）</w:t>
            </w:r>
          </w:p>
        </w:tc>
        <w:tc>
          <w:tcPr>
            <w:tcW w:w="12253" w:type="dxa"/>
            <w:tcBorders>
              <w:top w:val="single" w:color="auto" w:sz="4" w:space="0"/>
              <w:left w:val="single" w:color="auto" w:sz="4" w:space="0"/>
              <w:bottom w:val="single" w:color="auto" w:sz="4" w:space="0"/>
              <w:right w:val="single" w:color="auto" w:sz="4" w:space="0"/>
            </w:tcBorders>
            <w:vAlign w:val="center"/>
          </w:tcPr>
          <w:p w14:paraId="43EDEA20">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报价</w:t>
            </w: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得分＝（评标基准价/投标报价）×价格分值【注：满足</w:t>
            </w:r>
            <w:r>
              <w:rPr>
                <w:rFonts w:hint="eastAsia" w:ascii="仿宋_GB2312" w:hAnsi="仿宋_GB2312" w:eastAsia="仿宋_GB2312" w:cs="仿宋_GB2312"/>
                <w:b w:val="0"/>
                <w:bCs w:val="0"/>
                <w:color w:val="auto"/>
                <w:sz w:val="24"/>
                <w:szCs w:val="24"/>
                <w:lang w:val="en-US" w:eastAsia="zh-CN"/>
              </w:rPr>
              <w:t>响应文件</w:t>
            </w:r>
            <w:r>
              <w:rPr>
                <w:rFonts w:hint="eastAsia" w:ascii="仿宋_GB2312" w:hAnsi="仿宋_GB2312" w:eastAsia="仿宋_GB2312" w:cs="仿宋_GB2312"/>
                <w:b w:val="0"/>
                <w:bCs w:val="0"/>
                <w:color w:val="auto"/>
                <w:sz w:val="24"/>
                <w:szCs w:val="24"/>
              </w:rPr>
              <w:t>要求且</w:t>
            </w:r>
            <w:r>
              <w:rPr>
                <w:rFonts w:hint="eastAsia" w:ascii="仿宋_GB2312" w:hAnsi="仿宋_GB2312" w:eastAsia="仿宋_GB2312" w:cs="仿宋_GB2312"/>
                <w:b w:val="0"/>
                <w:bCs w:val="0"/>
                <w:color w:val="auto"/>
                <w:sz w:val="24"/>
                <w:szCs w:val="24"/>
                <w:lang w:val="en-US" w:eastAsia="zh-CN"/>
              </w:rPr>
              <w:t>以</w:t>
            </w:r>
            <w:r>
              <w:rPr>
                <w:rFonts w:hint="eastAsia" w:ascii="仿宋_GB2312" w:hAnsi="仿宋_GB2312" w:eastAsia="仿宋_GB2312" w:cs="仿宋_GB2312"/>
                <w:b w:val="0"/>
                <w:bCs w:val="0"/>
                <w:color w:val="auto"/>
                <w:sz w:val="24"/>
                <w:szCs w:val="24"/>
              </w:rPr>
              <w:t>最低的</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报价为</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最低报价不是</w:t>
            </w:r>
            <w:r>
              <w:rPr>
                <w:rFonts w:hint="eastAsia" w:ascii="仿宋_GB2312" w:hAnsi="仿宋_GB2312" w:eastAsia="仿宋_GB2312" w:cs="仿宋_GB2312"/>
                <w:b w:val="0"/>
                <w:bCs w:val="0"/>
                <w:color w:val="auto"/>
                <w:sz w:val="24"/>
                <w:szCs w:val="24"/>
                <w:lang w:val="en-US" w:eastAsia="zh-CN"/>
              </w:rPr>
              <w:t>中选</w:t>
            </w:r>
            <w:r>
              <w:rPr>
                <w:rFonts w:hint="eastAsia" w:ascii="仿宋_GB2312" w:hAnsi="仿宋_GB2312" w:eastAsia="仿宋_GB2312" w:cs="仿宋_GB2312"/>
                <w:b w:val="0"/>
                <w:bCs w:val="0"/>
                <w:color w:val="auto"/>
                <w:sz w:val="24"/>
                <w:szCs w:val="24"/>
              </w:rPr>
              <w:t>的唯一依据。因落实政府采购政策进行价格调整的，以调整后的价格计算</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基准价和</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w:t>
            </w:r>
          </w:p>
        </w:tc>
      </w:tr>
    </w:tbl>
    <w:p w14:paraId="38E59832">
      <w:pPr>
        <w:pStyle w:val="2"/>
        <w:rPr>
          <w:rFonts w:hint="eastAsia"/>
        </w:rPr>
      </w:pPr>
    </w:p>
    <w:sectPr>
      <w:pgSz w:w="16838" w:h="11906" w:orient="landscape"/>
      <w:pgMar w:top="1349" w:right="1440" w:bottom="134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公文小标宋简">
    <w:altName w:val="宋体"/>
    <w:panose1 w:val="02010609010101010101"/>
    <w:charset w:val="86"/>
    <w:family w:val="modern"/>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9993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D1F8E">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BD1F8E">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91E0B"/>
    <w:multiLevelType w:val="singleLevel"/>
    <w:tmpl w:val="40A91E0B"/>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mY4ODljZjQ3OGE1ODBhZDFiM2U4NzUxZTk3YzcifQ=="/>
  </w:docVars>
  <w:rsids>
    <w:rsidRoot w:val="00A85F75"/>
    <w:rsid w:val="0002784C"/>
    <w:rsid w:val="00030D58"/>
    <w:rsid w:val="00043D55"/>
    <w:rsid w:val="00050D1A"/>
    <w:rsid w:val="000701F3"/>
    <w:rsid w:val="00077EA2"/>
    <w:rsid w:val="000A447B"/>
    <w:rsid w:val="000A65FB"/>
    <w:rsid w:val="000C4530"/>
    <w:rsid w:val="001116A7"/>
    <w:rsid w:val="001E53E3"/>
    <w:rsid w:val="00251D9A"/>
    <w:rsid w:val="00255585"/>
    <w:rsid w:val="00287C81"/>
    <w:rsid w:val="002E1809"/>
    <w:rsid w:val="00304751"/>
    <w:rsid w:val="00352184"/>
    <w:rsid w:val="0036102B"/>
    <w:rsid w:val="0036400A"/>
    <w:rsid w:val="003A4AFB"/>
    <w:rsid w:val="003C264E"/>
    <w:rsid w:val="003C4BA5"/>
    <w:rsid w:val="003D6D41"/>
    <w:rsid w:val="0041411F"/>
    <w:rsid w:val="004218AD"/>
    <w:rsid w:val="0042225C"/>
    <w:rsid w:val="0044261C"/>
    <w:rsid w:val="00464AB3"/>
    <w:rsid w:val="004A6FE4"/>
    <w:rsid w:val="004B5940"/>
    <w:rsid w:val="004D680E"/>
    <w:rsid w:val="004E2118"/>
    <w:rsid w:val="005340F0"/>
    <w:rsid w:val="0053556C"/>
    <w:rsid w:val="0056100D"/>
    <w:rsid w:val="005B32FF"/>
    <w:rsid w:val="00602B48"/>
    <w:rsid w:val="006168CB"/>
    <w:rsid w:val="00657C6B"/>
    <w:rsid w:val="00674A2F"/>
    <w:rsid w:val="006854E0"/>
    <w:rsid w:val="006B7E48"/>
    <w:rsid w:val="006E5F57"/>
    <w:rsid w:val="00701987"/>
    <w:rsid w:val="00794D00"/>
    <w:rsid w:val="007B6539"/>
    <w:rsid w:val="007C4E8E"/>
    <w:rsid w:val="007D7973"/>
    <w:rsid w:val="007E0812"/>
    <w:rsid w:val="00835D91"/>
    <w:rsid w:val="00840D19"/>
    <w:rsid w:val="00840FA7"/>
    <w:rsid w:val="008433BF"/>
    <w:rsid w:val="00845879"/>
    <w:rsid w:val="00855E7B"/>
    <w:rsid w:val="00874659"/>
    <w:rsid w:val="008B51DE"/>
    <w:rsid w:val="008C76A9"/>
    <w:rsid w:val="008D067B"/>
    <w:rsid w:val="008E552E"/>
    <w:rsid w:val="008F46E7"/>
    <w:rsid w:val="00971B37"/>
    <w:rsid w:val="00993A31"/>
    <w:rsid w:val="009C0E18"/>
    <w:rsid w:val="009F6853"/>
    <w:rsid w:val="00A076FF"/>
    <w:rsid w:val="00A35CE4"/>
    <w:rsid w:val="00A85F75"/>
    <w:rsid w:val="00AB5257"/>
    <w:rsid w:val="00AC3447"/>
    <w:rsid w:val="00AD381A"/>
    <w:rsid w:val="00AE6F9B"/>
    <w:rsid w:val="00AF5E01"/>
    <w:rsid w:val="00B20860"/>
    <w:rsid w:val="00B43525"/>
    <w:rsid w:val="00B44EDF"/>
    <w:rsid w:val="00B93B68"/>
    <w:rsid w:val="00BB5246"/>
    <w:rsid w:val="00BD0B2F"/>
    <w:rsid w:val="00C77E02"/>
    <w:rsid w:val="00C94FEB"/>
    <w:rsid w:val="00CA3E55"/>
    <w:rsid w:val="00CB0F7D"/>
    <w:rsid w:val="00CC159D"/>
    <w:rsid w:val="00CE1262"/>
    <w:rsid w:val="00CE1C51"/>
    <w:rsid w:val="00CF2AAA"/>
    <w:rsid w:val="00D54CD4"/>
    <w:rsid w:val="00D860E4"/>
    <w:rsid w:val="00DD45D7"/>
    <w:rsid w:val="00E26BE5"/>
    <w:rsid w:val="00F36DBE"/>
    <w:rsid w:val="00F432D2"/>
    <w:rsid w:val="00F45780"/>
    <w:rsid w:val="00F55670"/>
    <w:rsid w:val="00F80B9D"/>
    <w:rsid w:val="00F844B9"/>
    <w:rsid w:val="00F862F8"/>
    <w:rsid w:val="00FC7DC3"/>
    <w:rsid w:val="00FE2208"/>
    <w:rsid w:val="00FF2BAC"/>
    <w:rsid w:val="015D3565"/>
    <w:rsid w:val="02A1135A"/>
    <w:rsid w:val="05422784"/>
    <w:rsid w:val="058B2825"/>
    <w:rsid w:val="069F1FBB"/>
    <w:rsid w:val="06A12E14"/>
    <w:rsid w:val="0A5E29B8"/>
    <w:rsid w:val="0A85585F"/>
    <w:rsid w:val="0AB31FD7"/>
    <w:rsid w:val="0EE83204"/>
    <w:rsid w:val="0F6D244F"/>
    <w:rsid w:val="0F8F1C77"/>
    <w:rsid w:val="11FD1823"/>
    <w:rsid w:val="12D83C76"/>
    <w:rsid w:val="13FF250B"/>
    <w:rsid w:val="16521C1B"/>
    <w:rsid w:val="16A173E1"/>
    <w:rsid w:val="17B92765"/>
    <w:rsid w:val="17EF7E50"/>
    <w:rsid w:val="18755A35"/>
    <w:rsid w:val="1ADD759A"/>
    <w:rsid w:val="1AEC3A17"/>
    <w:rsid w:val="1C152C36"/>
    <w:rsid w:val="1D7031FC"/>
    <w:rsid w:val="1F3E30E3"/>
    <w:rsid w:val="21013E9F"/>
    <w:rsid w:val="236478FC"/>
    <w:rsid w:val="24881FC9"/>
    <w:rsid w:val="28C43FEE"/>
    <w:rsid w:val="2AE603CB"/>
    <w:rsid w:val="2B163855"/>
    <w:rsid w:val="2C955AC5"/>
    <w:rsid w:val="2D753F0F"/>
    <w:rsid w:val="2D8A4776"/>
    <w:rsid w:val="2E206AF3"/>
    <w:rsid w:val="2E814957"/>
    <w:rsid w:val="2E82024D"/>
    <w:rsid w:val="2E9A4AF0"/>
    <w:rsid w:val="2F2A210A"/>
    <w:rsid w:val="30000F2B"/>
    <w:rsid w:val="3205221E"/>
    <w:rsid w:val="32702889"/>
    <w:rsid w:val="337D752A"/>
    <w:rsid w:val="38561458"/>
    <w:rsid w:val="39670754"/>
    <w:rsid w:val="3BE30D92"/>
    <w:rsid w:val="3CBA4783"/>
    <w:rsid w:val="3CED5545"/>
    <w:rsid w:val="3E756514"/>
    <w:rsid w:val="40073B18"/>
    <w:rsid w:val="41B75D55"/>
    <w:rsid w:val="43055D5C"/>
    <w:rsid w:val="434F7129"/>
    <w:rsid w:val="43DD3F93"/>
    <w:rsid w:val="43EE1D89"/>
    <w:rsid w:val="45392D30"/>
    <w:rsid w:val="469314DC"/>
    <w:rsid w:val="47C31EA7"/>
    <w:rsid w:val="4ACE1580"/>
    <w:rsid w:val="4C4D4D21"/>
    <w:rsid w:val="4CFD68A8"/>
    <w:rsid w:val="4D1434A7"/>
    <w:rsid w:val="4DC235F4"/>
    <w:rsid w:val="4DEE43C4"/>
    <w:rsid w:val="4E0B51CF"/>
    <w:rsid w:val="50087C10"/>
    <w:rsid w:val="5058329B"/>
    <w:rsid w:val="542F0C5D"/>
    <w:rsid w:val="562170AD"/>
    <w:rsid w:val="56F272FF"/>
    <w:rsid w:val="57954ABA"/>
    <w:rsid w:val="57A55496"/>
    <w:rsid w:val="57E713DE"/>
    <w:rsid w:val="59DA72D7"/>
    <w:rsid w:val="5B800BF1"/>
    <w:rsid w:val="5D565E38"/>
    <w:rsid w:val="5EBB5F7B"/>
    <w:rsid w:val="6038522C"/>
    <w:rsid w:val="61BA59B7"/>
    <w:rsid w:val="638C00C7"/>
    <w:rsid w:val="63EA24B4"/>
    <w:rsid w:val="655F1258"/>
    <w:rsid w:val="66367EC9"/>
    <w:rsid w:val="6639449D"/>
    <w:rsid w:val="675E561B"/>
    <w:rsid w:val="67690014"/>
    <w:rsid w:val="67F27734"/>
    <w:rsid w:val="687277D9"/>
    <w:rsid w:val="69CB3EC3"/>
    <w:rsid w:val="6A8E53EC"/>
    <w:rsid w:val="6B186A52"/>
    <w:rsid w:val="6BB77A32"/>
    <w:rsid w:val="6F0A08FB"/>
    <w:rsid w:val="6F2165AA"/>
    <w:rsid w:val="70D519F5"/>
    <w:rsid w:val="70E70CEA"/>
    <w:rsid w:val="7189026B"/>
    <w:rsid w:val="7213775D"/>
    <w:rsid w:val="72F0108F"/>
    <w:rsid w:val="745D7725"/>
    <w:rsid w:val="772C7C40"/>
    <w:rsid w:val="79B24D28"/>
    <w:rsid w:val="79D85336"/>
    <w:rsid w:val="7AEF5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style>
  <w:style w:type="paragraph" w:styleId="3">
    <w:name w:val="toc 5"/>
    <w:basedOn w:val="1"/>
    <w:next w:val="1"/>
    <w:autoRedefine/>
    <w:qFormat/>
    <w:uiPriority w:val="0"/>
    <w:pPr>
      <w:widowControl w:val="0"/>
      <w:ind w:left="1680" w:leftChars="800"/>
      <w:jc w:val="both"/>
    </w:pPr>
    <w:rPr>
      <w:kern w:val="2"/>
      <w:szCs w:val="24"/>
    </w:rPr>
  </w:style>
  <w:style w:type="paragraph" w:styleId="4">
    <w:name w:val="Date"/>
    <w:basedOn w:val="1"/>
    <w:next w:val="1"/>
    <w:link w:val="15"/>
    <w:autoRedefine/>
    <w:semiHidden/>
    <w:unhideWhenUsed/>
    <w:qFormat/>
    <w:uiPriority w:val="99"/>
    <w:pPr>
      <w:ind w:left="100" w:leftChars="2500"/>
    </w:pPr>
  </w:style>
  <w:style w:type="paragraph" w:styleId="5">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Hyperlink"/>
    <w:basedOn w:val="10"/>
    <w:autoRedefine/>
    <w:unhideWhenUsed/>
    <w:qFormat/>
    <w:uiPriority w:val="99"/>
    <w:rPr>
      <w:color w:val="0000FF" w:themeColor="hyperlink"/>
      <w:u w:val="single"/>
      <w14:textFill>
        <w14:solidFill>
          <w14:schemeClr w14:val="hlink"/>
        </w14:solidFill>
      </w14:textFill>
    </w:rPr>
  </w:style>
  <w:style w:type="paragraph" w:styleId="12">
    <w:name w:val="List Paragraph"/>
    <w:basedOn w:val="1"/>
    <w:autoRedefine/>
    <w:qFormat/>
    <w:uiPriority w:val="34"/>
    <w:pPr>
      <w:ind w:firstLine="420" w:firstLineChars="200"/>
    </w:pPr>
  </w:style>
  <w:style w:type="character" w:customStyle="1" w:styleId="13">
    <w:name w:val="页眉 Char"/>
    <w:basedOn w:val="10"/>
    <w:link w:val="6"/>
    <w:autoRedefine/>
    <w:semiHidden/>
    <w:qFormat/>
    <w:uiPriority w:val="99"/>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日期 Char"/>
    <w:basedOn w:val="10"/>
    <w:link w:val="4"/>
    <w:autoRedefine/>
    <w:semiHidden/>
    <w:qFormat/>
    <w:uiPriority w:val="99"/>
  </w:style>
  <w:style w:type="paragraph" w:customStyle="1" w:styleId="16">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cd39e930-d5f1-4876-8067-1b2075e59436</errorID>
      <errorWord>）</errorWord>
      <group>L1_Format</group>
      <groupName>格式问题</groupName>
      <ability>L2_HalfPunc_CN</ability>
      <abilityName/>
      <candidateList>
        <item>)</item>
      </candidateList>
      <explain>文本全半角错误。</explain>
      <paraID> D985015</paraID>
      <start>7</start>
      <end>8</end>
      <status>unmodified</status>
      <modifiedWord/>
      <trackRevisions>false</trackRevisions>
    </reviewItem>
    <reviewItem>
      <errorID>b8e86627-f488-4f7d-8419-e7934ae2ae08</errorID>
      <errorWord>）</errorWord>
      <group>L1_Format</group>
      <groupName>格式问题</groupName>
      <ability>L2_HalfPunc_CN</ability>
      <abilityName/>
      <candidateList>
        <item>)</item>
      </candidateList>
      <explain>文本全半角错误。</explain>
      <paraID>70333C2C</paraID>
      <start>6</start>
      <end>7</end>
      <status>unmodified</status>
      <modifiedWord/>
      <trackRevisions>false</trackRevisions>
    </reviewItem>
    <reviewItem>
      <errorID>73cdf7ee-240e-4908-92fe-c51125d19354</errorID>
      <errorWord>）</errorWord>
      <group>L1_Format</group>
      <groupName>格式问题</groupName>
      <ability>L2_HalfPunc_CN</ability>
      <abilityName/>
      <candidateList>
        <item>)</item>
      </candidateList>
      <explain>文本全半角错误。</explain>
      <paraID>715EF6F8</paraID>
      <start>5</start>
      <end>6</end>
      <status>unmodified</status>
      <modifiedWord/>
      <trackRevisions>false</trackRevisions>
    </reviewItem>
    <reviewItem>
      <errorID>f2ac82c9-0797-461b-a3e3-64fd37b59fb1</errorID>
      <errorWord>。】</errorWord>
      <group>L1_Punc</group>
      <groupName>标点问题</groupName>
      <ability>L2_Punc_CN</ability>
      <abilityName/>
      <candidateList>
        <item>】</item>
      </candidateList>
      <explain/>
      <paraID>50966643</paraID>
      <start>33</start>
      <end>35</end>
      <status>unmodified</status>
      <modifiedWord/>
      <trackRevisions>false</trackRevisions>
    </reviewItem>
    <reviewItem>
      <errorID>c4ac30f7-c621-4066-a552-a76de816c217</errorID>
      <errorWord>(</errorWord>
      <group>L1_Format</group>
      <groupName>格式问题</groupName>
      <ability>L2_HalfPunc_CN</ability>
      <abilityName/>
      <candidateList>
        <item>（</item>
      </candidateList>
      <explain>文本全半角错误。</explain>
      <paraID>4671559D</paraID>
      <start>15</start>
      <end>16</end>
      <status>unmodified</status>
      <modifiedWord/>
      <trackRevisions>false</trackRevisions>
    </reviewItem>
    <reviewItem>
      <errorID>20ec5ebb-67da-4059-b8fe-64a61d4618a5</errorID>
      <errorWord>）</errorWord>
      <group>L1_Format</group>
      <groupName>格式问题</groupName>
      <ability>L2_HalfPunc_CN</ability>
      <abilityName/>
      <candidateList>
        <item>)</item>
      </candidateList>
      <explain>文本全半角错误。</explain>
      <paraID>12DA1C30</paraID>
      <start>6</start>
      <end>7</end>
      <status>unmodified</status>
      <modifiedWord/>
      <trackRevisions>false</trackRevisions>
    </reviewItem>
    <reviewItem>
      <errorID>8cf86bfd-0b21-4aab-b8cb-5d87eaa66b79</errorID>
      <errorWord>(</errorWord>
      <group>L1_Format</group>
      <groupName>格式问题</groupName>
      <ability>L2_HalfPunc_CN</ability>
      <abilityName/>
      <candidateList>
        <item>（</item>
      </candidateList>
      <explain>文本全半角错误。</explain>
      <paraID>2BCF7604</paraID>
      <start>7</start>
      <end>8</end>
      <status>unmodified</status>
      <modifiedWord/>
      <trackRevisions>false</trackRevisions>
    </reviewItem>
    <reviewItem>
      <errorID>83c75406-5258-4e26-8f49-2db95508669e</errorID>
      <errorWord>）</errorWord>
      <group>L1_Format</group>
      <groupName>格式问题</groupName>
      <ability>L2_HalfPunc_CN</ability>
      <abilityName/>
      <candidateList>
        <item>)</item>
      </candidateList>
      <explain>文本全半角错误。</explain>
      <paraID>1567C429</paraID>
      <start>6</start>
      <end>7</end>
      <status>unmodified</status>
      <modifiedWord/>
      <trackRevisions>false</trackRevisions>
    </reviewItem>
    <reviewItem>
      <errorID>83631d8c-328d-41cb-b5c7-09a17260683d</errorID>
      <errorWord>撑</errorWord>
      <group>L1_Word</group>
      <groupName>字词问题</groupName>
      <ability>L2_Typo</ability>
      <abilityName>字词错误</abilityName>
      <candidateList>
        <item>撑能</item>
      </candidateList>
      <explain/>
      <paraID>194B0E0F</paraID>
      <start>24</start>
      <end>25</end>
      <status>unmodified</status>
      <modifiedWord/>
      <trackRevisions>false</trackRevisions>
    </reviewItem>
    <reviewItem>
      <errorID>9fae01ab-78b8-47d5-8619-f50a41a50b5d</errorID>
      <errorWord>撑</errorWord>
      <group>L1_Word</group>
      <groupName>字词问题</groupName>
      <ability>L2_Typo</ability>
      <abilityName>字词错误</abilityName>
      <candidateList>
        <item>撑能</item>
      </candidateList>
      <explain/>
      <paraID>65D29EC0</paraID>
      <start>21</start>
      <end>22</end>
      <status>unmodified</status>
      <modifiedWord/>
      <trackRevisions>false</trackRevisions>
    </reviewItem>
    <reviewItem>
      <errorID>0e062fd7-36a1-4939-9b6d-9176a9fa9572</errorID>
      <errorWord>）</errorWord>
      <group>L1_Format</group>
      <groupName>格式问题</groupName>
      <ability>L2_HalfPunc_CN</ability>
      <abilityName/>
      <candidateList>
        <item>)</item>
      </candidateList>
      <explain>文本全半角错误。</explain>
      <paraID>2772EBB3</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a74f55-17c5-4132-bc98-8e1c33b1e7a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1827</Words>
  <Characters>1885</Characters>
  <Lines>4</Lines>
  <Paragraphs>1</Paragraphs>
  <TotalTime>19</TotalTime>
  <ScaleCrop>false</ScaleCrop>
  <LinksUpToDate>false</LinksUpToDate>
  <CharactersWithSpaces>1943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2015-09-07T02:11:00Z</dcterms:created>
  <dc:creator>微软用户</dc:creator>
  <cp:lastModifiedBy>hybx</cp:lastModifiedBy>
  <cp:lastPrinted>2024-05-29T04:00:00Z</cp:lastPrinted>
  <dcterms:modified xsi:type="dcterms:W3CDTF">2026-05-27T07:31:00Z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DE53CEBC89CB4C72AA80251CAEAA3EBA_13</vt:lpwstr>
  </property>
  <property fmtid="{D5CDD505-2E9C-101B-9397-08002B2CF9AE}" pid="4" name="KSOTemplateDocerSaveRecord">
    <vt:lpwstr>eyJoZGlkIjoiNDNmYmY4ODljZjQ3OGE1ODBhZDFiM2U4NzUxZTk3YzciLCJ1c2VySWQiOiIyMzczMjQwMjIifQ==</vt:lpwstr>
  </property>
</Properties>
</file>