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A083AB">
      <w:pPr>
        <w:keepNext w:val="0"/>
        <w:keepLines w:val="0"/>
        <w:pageBreakBefore w:val="0"/>
        <w:widowControl w:val="0"/>
        <w:kinsoku/>
        <w:wordWrap w:val="0"/>
        <w:overflowPunct/>
        <w:topLinePunct w:val="0"/>
        <w:autoSpaceDE/>
        <w:autoSpaceDN/>
        <w:bidi w:val="0"/>
        <w:adjustRightInd/>
        <w:snapToGrid/>
        <w:ind w:left="0" w:leftChars="0" w:firstLine="0" w:firstLineChars="0"/>
        <w:jc w:val="center"/>
        <w:textAlignment w:val="auto"/>
        <w:rPr>
          <w:rFonts w:hint="default" w:ascii="方正小标宋_GBK" w:hAnsi="方正小标宋_GBK" w:eastAsia="方正小标宋_GBK" w:cs="方正小标宋_GBK"/>
          <w:color w:val="auto"/>
          <w:sz w:val="44"/>
          <w:szCs w:val="44"/>
          <w:highlight w:val="none"/>
          <w:lang w:val="en-US" w:eastAsia="zh-CN"/>
        </w:rPr>
      </w:pPr>
      <w:bookmarkStart w:id="0" w:name="_GoBack"/>
      <w:r>
        <w:rPr>
          <w:rFonts w:hint="eastAsia" w:ascii="方正小标宋_GBK" w:hAnsi="方正小标宋_GBK" w:eastAsia="方正小标宋_GBK" w:cs="方正小标宋_GBK"/>
          <w:color w:val="auto"/>
          <w:sz w:val="44"/>
          <w:szCs w:val="44"/>
          <w:highlight w:val="none"/>
          <w:lang w:val="en-US" w:eastAsia="zh-CN"/>
        </w:rPr>
        <w:t>中山市医院使用医保基金情况第三方机构自查测评服务项目采购需求</w:t>
      </w:r>
    </w:p>
    <w:p w14:paraId="00F4FD8F">
      <w:pPr>
        <w:keepNext w:val="0"/>
        <w:keepLines w:val="0"/>
        <w:pageBreakBefore w:val="0"/>
        <w:widowControl w:val="0"/>
        <w:numPr>
          <w:ilvl w:val="0"/>
          <w:numId w:val="1"/>
        </w:numPr>
        <w:kinsoku/>
        <w:wordWrap w:val="0"/>
        <w:overflowPunct/>
        <w:topLinePunct w:val="0"/>
        <w:autoSpaceDE/>
        <w:autoSpaceDN/>
        <w:bidi w:val="0"/>
        <w:adjustRightInd/>
        <w:snapToGrid/>
        <w:ind w:left="0" w:leftChars="0" w:firstLine="630" w:firstLineChars="200"/>
        <w:textAlignment w:val="auto"/>
        <w:rPr>
          <w:rFonts w:hint="default" w:ascii="Times New Roman" w:hAnsi="Times New Roman" w:eastAsia="仿宋" w:cs="Times New Roman"/>
          <w:color w:val="auto"/>
          <w:sz w:val="32"/>
          <w:szCs w:val="32"/>
          <w:highlight w:val="none"/>
          <w:lang w:val="en-US" w:eastAsia="zh-CN"/>
        </w:rPr>
      </w:pPr>
      <w:r>
        <w:rPr>
          <w:rFonts w:hint="eastAsia" w:ascii="黑体" w:hAnsi="黑体" w:eastAsia="黑体" w:cs="黑体"/>
          <w:color w:val="auto"/>
          <w:sz w:val="32"/>
          <w:szCs w:val="32"/>
          <w:highlight w:val="none"/>
          <w:lang w:val="en-US" w:eastAsia="zh-CN"/>
        </w:rPr>
        <w:t>项目背景</w:t>
      </w:r>
    </w:p>
    <w:p w14:paraId="39094408">
      <w:pPr>
        <w:keepNext w:val="0"/>
        <w:keepLines w:val="0"/>
        <w:pageBreakBefore w:val="0"/>
        <w:widowControl w:val="0"/>
        <w:kinsoku/>
        <w:wordWrap w:val="0"/>
        <w:overflowPunct/>
        <w:topLinePunct w:val="0"/>
        <w:autoSpaceDE/>
        <w:autoSpaceDN/>
        <w:bidi w:val="0"/>
        <w:adjustRightInd/>
        <w:snapToGrid/>
        <w:textAlignment w:val="auto"/>
        <w:rPr>
          <w:rFonts w:hint="default" w:ascii="Times New Roman" w:hAnsi="Times New Roman" w:eastAsia="仿宋" w:cs="Times New Roman"/>
          <w:color w:val="auto"/>
          <w:sz w:val="32"/>
          <w:szCs w:val="32"/>
          <w:highlight w:val="none"/>
          <w:lang w:val="en-US" w:eastAsia="zh-CN"/>
        </w:rPr>
      </w:pPr>
      <w:r>
        <w:rPr>
          <w:rFonts w:hint="eastAsia" w:ascii="Times New Roman" w:hAnsi="Times New Roman" w:cs="Times New Roman"/>
          <w:color w:val="auto"/>
          <w:sz w:val="32"/>
          <w:szCs w:val="32"/>
          <w:highlight w:val="none"/>
          <w:lang w:val="en-US" w:eastAsia="zh-CN"/>
        </w:rPr>
        <w:t>根据国家及省、市医疗保障部门的统一部署，结合《广东省医疗保障局转发国家医疗保障局关于开展2026年定点医药机构违法违规使用医保基金自查自纠工作的通知》（粤医保函〔2026〕53号）要求，现采购第三方自查测评服务，对我院医保政策执行情况，尤其是</w:t>
      </w:r>
      <w:r>
        <w:rPr>
          <w:rFonts w:hint="eastAsia" w:ascii="Times New Roman" w:hAnsi="Times New Roman" w:cs="Times New Roman"/>
          <w:b/>
          <w:bCs/>
          <w:color w:val="auto"/>
          <w:sz w:val="32"/>
          <w:szCs w:val="32"/>
          <w:highlight w:val="none"/>
          <w:lang w:val="en-US" w:eastAsia="zh-CN"/>
        </w:rPr>
        <w:t>对</w:t>
      </w:r>
      <w:r>
        <w:rPr>
          <w:rFonts w:hint="eastAsia" w:ascii="Times New Roman" w:hAnsi="Times New Roman" w:cs="Times New Roman"/>
          <w:color w:val="auto"/>
          <w:sz w:val="32"/>
          <w:szCs w:val="32"/>
          <w:highlight w:val="none"/>
          <w:lang w:val="en-US" w:eastAsia="zh-CN"/>
        </w:rPr>
        <w:t>12个重点领域的医保基金使用行为进行全面精准的合规性评估。</w:t>
      </w:r>
    </w:p>
    <w:p w14:paraId="0E5D20D8">
      <w:pPr>
        <w:keepNext w:val="0"/>
        <w:keepLines w:val="0"/>
        <w:pageBreakBefore w:val="0"/>
        <w:widowControl w:val="0"/>
        <w:numPr>
          <w:ilvl w:val="0"/>
          <w:numId w:val="1"/>
        </w:numPr>
        <w:kinsoku/>
        <w:wordWrap w:val="0"/>
        <w:overflowPunct/>
        <w:topLinePunct w:val="0"/>
        <w:autoSpaceDE/>
        <w:autoSpaceDN/>
        <w:bidi w:val="0"/>
        <w:adjustRightInd/>
        <w:snapToGrid/>
        <w:ind w:left="0" w:leftChars="0" w:firstLine="630" w:firstLineChars="200"/>
        <w:textAlignment w:val="auto"/>
        <w:rPr>
          <w:rFonts w:hint="default"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项目预算：310000元。</w:t>
      </w:r>
    </w:p>
    <w:p w14:paraId="4C6997DC">
      <w:pPr>
        <w:keepNext w:val="0"/>
        <w:keepLines w:val="0"/>
        <w:pageBreakBefore w:val="0"/>
        <w:widowControl w:val="0"/>
        <w:numPr>
          <w:ilvl w:val="0"/>
          <w:numId w:val="1"/>
        </w:numPr>
        <w:kinsoku/>
        <w:wordWrap w:val="0"/>
        <w:overflowPunct/>
        <w:topLinePunct w:val="0"/>
        <w:autoSpaceDE/>
        <w:autoSpaceDN/>
        <w:bidi w:val="0"/>
        <w:adjustRightInd/>
        <w:snapToGrid/>
        <w:ind w:left="0" w:leftChars="0" w:firstLine="630" w:firstLineChars="200"/>
        <w:textAlignment w:val="auto"/>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服务目标</w:t>
      </w:r>
    </w:p>
    <w:p w14:paraId="0C54357D">
      <w:pPr>
        <w:keepNext w:val="0"/>
        <w:keepLines w:val="0"/>
        <w:pageBreakBefore w:val="0"/>
        <w:widowControl w:val="0"/>
        <w:kinsoku/>
        <w:wordWrap w:val="0"/>
        <w:overflowPunct/>
        <w:topLinePunct w:val="0"/>
        <w:autoSpaceDE/>
        <w:autoSpaceDN/>
        <w:bidi w:val="0"/>
        <w:adjustRightInd/>
        <w:snapToGrid/>
        <w:textAlignment w:val="auto"/>
        <w:rPr>
          <w:rFonts w:hint="default" w:ascii="Times New Roman" w:hAnsi="Times New Roman" w:eastAsia="仿宋" w:cs="Times New Roman"/>
          <w:color w:val="auto"/>
          <w:sz w:val="32"/>
          <w:szCs w:val="32"/>
          <w:highlight w:val="none"/>
          <w:lang w:val="en-US" w:eastAsia="zh-CN"/>
        </w:rPr>
      </w:pPr>
      <w:r>
        <w:rPr>
          <w:rFonts w:hint="default" w:ascii="Times New Roman" w:hAnsi="Times New Roman" w:eastAsia="仿宋" w:cs="Times New Roman"/>
          <w:color w:val="auto"/>
          <w:sz w:val="32"/>
          <w:szCs w:val="32"/>
          <w:highlight w:val="none"/>
          <w:lang w:val="en-US" w:eastAsia="zh-CN"/>
        </w:rPr>
        <w:t>依据《医疗保障基金使用监督管理条例》《广东省医疗保障局 公安厅 卫生健康委转发国家医保局 公安部 国家卫生健康委关于开展打击欺诈骗保专项整治行动的通知》（粤医保发〔2021〕25号</w:t>
      </w:r>
      <w:r>
        <w:rPr>
          <w:rFonts w:hint="eastAsia" w:ascii="Times New Roman" w:hAnsi="Times New Roman" w:cs="Times New Roman"/>
          <w:color w:val="auto"/>
          <w:sz w:val="32"/>
          <w:szCs w:val="32"/>
          <w:highlight w:val="none"/>
          <w:lang w:val="en-US" w:eastAsia="zh-CN"/>
        </w:rPr>
        <w:t>）和《国家医疗保障局关于开展2026年定点医药机构违法违规使用医保基金自查自纠工作的通知》（医保函〔2026〕11号）</w:t>
      </w:r>
      <w:r>
        <w:rPr>
          <w:rFonts w:hint="default" w:ascii="Times New Roman" w:hAnsi="Times New Roman" w:eastAsia="仿宋" w:cs="Times New Roman"/>
          <w:color w:val="auto"/>
          <w:sz w:val="32"/>
          <w:szCs w:val="32"/>
          <w:highlight w:val="none"/>
          <w:lang w:val="en-US" w:eastAsia="zh-CN"/>
        </w:rPr>
        <w:t>等相关规定，委托具备资质的第三方机构，对我院2024年1月1日</w:t>
      </w:r>
      <w:r>
        <w:rPr>
          <w:rFonts w:hint="eastAsia" w:ascii="Times New Roman" w:hAnsi="Times New Roman" w:cs="Times New Roman"/>
          <w:color w:val="auto"/>
          <w:sz w:val="32"/>
          <w:szCs w:val="32"/>
          <w:highlight w:val="none"/>
          <w:lang w:val="en-US" w:eastAsia="zh-CN"/>
        </w:rPr>
        <w:t>截至2026年6</w:t>
      </w:r>
      <w:r>
        <w:rPr>
          <w:rFonts w:hint="default" w:ascii="Times New Roman" w:hAnsi="Times New Roman" w:eastAsia="仿宋" w:cs="Times New Roman"/>
          <w:color w:val="auto"/>
          <w:sz w:val="32"/>
          <w:szCs w:val="32"/>
          <w:highlight w:val="none"/>
          <w:lang w:val="en-US" w:eastAsia="zh-CN"/>
        </w:rPr>
        <w:t>月3</w:t>
      </w:r>
      <w:r>
        <w:rPr>
          <w:rFonts w:hint="eastAsia" w:ascii="Times New Roman" w:hAnsi="Times New Roman" w:cs="Times New Roman"/>
          <w:color w:val="auto"/>
          <w:sz w:val="32"/>
          <w:szCs w:val="32"/>
          <w:highlight w:val="none"/>
          <w:lang w:val="en-US" w:eastAsia="zh-CN"/>
        </w:rPr>
        <w:t>0</w:t>
      </w:r>
      <w:r>
        <w:rPr>
          <w:rFonts w:hint="default" w:ascii="Times New Roman" w:hAnsi="Times New Roman" w:eastAsia="仿宋" w:cs="Times New Roman"/>
          <w:color w:val="auto"/>
          <w:sz w:val="32"/>
          <w:szCs w:val="32"/>
          <w:highlight w:val="none"/>
          <w:lang w:val="en-US" w:eastAsia="zh-CN"/>
        </w:rPr>
        <w:t>日</w:t>
      </w:r>
      <w:r>
        <w:rPr>
          <w:rFonts w:hint="eastAsia" w:ascii="Times New Roman" w:hAnsi="Times New Roman" w:cs="Times New Roman"/>
          <w:color w:val="auto"/>
          <w:sz w:val="32"/>
          <w:szCs w:val="32"/>
          <w:highlight w:val="none"/>
          <w:lang w:val="en-US" w:eastAsia="zh-CN"/>
        </w:rPr>
        <w:t>期间</w:t>
      </w:r>
      <w:r>
        <w:rPr>
          <w:rFonts w:hint="default" w:ascii="Times New Roman" w:hAnsi="Times New Roman" w:eastAsia="仿宋" w:cs="Times New Roman"/>
          <w:color w:val="auto"/>
          <w:sz w:val="32"/>
          <w:szCs w:val="32"/>
          <w:highlight w:val="none"/>
          <w:lang w:val="en-US" w:eastAsia="zh-CN"/>
        </w:rPr>
        <w:t>使用医保基金情况开展专业评估与分析，并形成</w:t>
      </w:r>
      <w:r>
        <w:rPr>
          <w:rFonts w:hint="eastAsia" w:ascii="Times New Roman" w:hAnsi="Times New Roman" w:cs="Times New Roman"/>
          <w:color w:val="auto"/>
          <w:sz w:val="32"/>
          <w:szCs w:val="32"/>
          <w:highlight w:val="none"/>
          <w:lang w:val="en-US" w:eastAsia="zh-CN"/>
        </w:rPr>
        <w:t>翔实</w:t>
      </w:r>
      <w:r>
        <w:rPr>
          <w:rFonts w:hint="default" w:ascii="Times New Roman" w:hAnsi="Times New Roman" w:eastAsia="仿宋" w:cs="Times New Roman"/>
          <w:color w:val="auto"/>
          <w:sz w:val="32"/>
          <w:szCs w:val="32"/>
          <w:highlight w:val="none"/>
          <w:lang w:val="en-US" w:eastAsia="zh-CN"/>
        </w:rPr>
        <w:t>的自查自纠报告，为后续整改与优化提供依据。</w:t>
      </w:r>
    </w:p>
    <w:p w14:paraId="7F75EF3D">
      <w:pPr>
        <w:keepNext w:val="0"/>
        <w:keepLines w:val="0"/>
        <w:pageBreakBefore w:val="0"/>
        <w:widowControl w:val="0"/>
        <w:numPr>
          <w:ilvl w:val="0"/>
          <w:numId w:val="1"/>
        </w:numPr>
        <w:kinsoku/>
        <w:wordWrap w:val="0"/>
        <w:overflowPunct/>
        <w:topLinePunct w:val="0"/>
        <w:autoSpaceDE/>
        <w:autoSpaceDN/>
        <w:bidi w:val="0"/>
        <w:adjustRightInd/>
        <w:snapToGrid/>
        <w:ind w:left="0" w:leftChars="0" w:firstLine="630" w:firstLineChars="200"/>
        <w:textAlignment w:val="auto"/>
        <w:rPr>
          <w:rFonts w:hint="default" w:ascii="Times New Roman" w:hAnsi="Times New Roman" w:eastAsia="仿宋" w:cs="Times New Roman"/>
          <w:color w:val="auto"/>
          <w:sz w:val="32"/>
          <w:szCs w:val="32"/>
          <w:highlight w:val="none"/>
          <w:lang w:val="en-US" w:eastAsia="zh-CN"/>
        </w:rPr>
      </w:pPr>
      <w:r>
        <w:rPr>
          <w:rFonts w:hint="eastAsia" w:ascii="黑体" w:hAnsi="黑体" w:eastAsia="黑体" w:cs="黑体"/>
          <w:color w:val="auto"/>
          <w:sz w:val="32"/>
          <w:szCs w:val="32"/>
          <w:highlight w:val="none"/>
          <w:lang w:val="en-US" w:eastAsia="zh-CN"/>
        </w:rPr>
        <w:t>服务内容</w:t>
      </w:r>
    </w:p>
    <w:p w14:paraId="300A9B43">
      <w:pPr>
        <w:keepNext w:val="0"/>
        <w:keepLines w:val="0"/>
        <w:pageBreakBefore w:val="0"/>
        <w:widowControl w:val="0"/>
        <w:kinsoku/>
        <w:wordWrap w:val="0"/>
        <w:overflowPunct/>
        <w:topLinePunct w:val="0"/>
        <w:autoSpaceDE/>
        <w:autoSpaceDN/>
        <w:bidi w:val="0"/>
        <w:adjustRightInd/>
        <w:snapToGrid/>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第三方机构需对以下内容开展全方位、专业化的合规性核查与分析：</w:t>
      </w:r>
    </w:p>
    <w:p w14:paraId="66C0BE0B">
      <w:pPr>
        <w:keepNext w:val="0"/>
        <w:keepLines w:val="0"/>
        <w:pageBreakBefore w:val="0"/>
        <w:widowControl w:val="0"/>
        <w:kinsoku/>
        <w:wordWrap w:val="0"/>
        <w:overflowPunct/>
        <w:topLinePunct w:val="0"/>
        <w:autoSpaceDE/>
        <w:autoSpaceDN/>
        <w:bidi w:val="0"/>
        <w:adjustRightInd/>
        <w:snapToGrid/>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1.医疗服务行为规范性及费用合规性；</w:t>
      </w:r>
    </w:p>
    <w:p w14:paraId="49ADDD76">
      <w:pPr>
        <w:keepNext w:val="0"/>
        <w:keepLines w:val="0"/>
        <w:pageBreakBefore w:val="0"/>
        <w:widowControl w:val="0"/>
        <w:kinsoku/>
        <w:wordWrap w:val="0"/>
        <w:overflowPunct/>
        <w:topLinePunct w:val="0"/>
        <w:autoSpaceDE/>
        <w:autoSpaceDN/>
        <w:bidi w:val="0"/>
        <w:adjustRightInd/>
        <w:snapToGrid/>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lang w:val="en" w:eastAsia="en"/>
        </w:rPr>
        <w:t>药品及医用耗材的进销存管理、采购、验收入库、领用核销、盘点全流程台账合规情况</w:t>
      </w:r>
      <w:r>
        <w:rPr>
          <w:rFonts w:hint="eastAsia" w:ascii="仿宋_GB2312" w:hAnsi="仿宋_GB2312" w:eastAsia="仿宋_GB2312" w:cs="仿宋_GB2312"/>
          <w:color w:val="auto"/>
          <w:sz w:val="32"/>
          <w:szCs w:val="32"/>
          <w:highlight w:val="none"/>
          <w:lang w:val="en-US" w:eastAsia="zh-CN"/>
        </w:rPr>
        <w:t>；</w:t>
      </w:r>
    </w:p>
    <w:p w14:paraId="25FFBAFF">
      <w:pPr>
        <w:keepNext w:val="0"/>
        <w:keepLines w:val="0"/>
        <w:pageBreakBefore w:val="0"/>
        <w:widowControl w:val="0"/>
        <w:kinsoku/>
        <w:wordWrap w:val="0"/>
        <w:overflowPunct/>
        <w:topLinePunct w:val="0"/>
        <w:autoSpaceDE/>
        <w:autoSpaceDN/>
        <w:bidi w:val="0"/>
        <w:adjustRightInd/>
        <w:snapToGrid/>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lang w:val="en" w:eastAsia="en"/>
        </w:rPr>
        <w:t>医疗收费、价格公示、物价编码匹配与临床诊疗规范执行情况</w:t>
      </w:r>
      <w:r>
        <w:rPr>
          <w:rFonts w:hint="eastAsia" w:ascii="仿宋_GB2312" w:hAnsi="仿宋_GB2312" w:eastAsia="仿宋_GB2312" w:cs="仿宋_GB2312"/>
          <w:color w:val="auto"/>
          <w:sz w:val="32"/>
          <w:szCs w:val="32"/>
          <w:highlight w:val="none"/>
          <w:lang w:val="en-US" w:eastAsia="zh-CN"/>
        </w:rPr>
        <w:t>；</w:t>
      </w:r>
    </w:p>
    <w:p w14:paraId="6FE09480">
      <w:pPr>
        <w:keepNext w:val="0"/>
        <w:keepLines w:val="0"/>
        <w:pageBreakBefore w:val="0"/>
        <w:widowControl w:val="0"/>
        <w:kinsoku/>
        <w:wordWrap w:val="0"/>
        <w:overflowPunct/>
        <w:topLinePunct w:val="0"/>
        <w:autoSpaceDE/>
        <w:autoSpaceDN/>
        <w:bidi w:val="0"/>
        <w:adjustRightInd/>
        <w:snapToGrid/>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4.</w:t>
      </w:r>
      <w:r>
        <w:rPr>
          <w:rFonts w:hint="eastAsia" w:ascii="仿宋_GB2312" w:hAnsi="仿宋_GB2312" w:eastAsia="仿宋_GB2312" w:cs="仿宋_GB2312"/>
          <w:color w:val="auto"/>
          <w:sz w:val="32"/>
          <w:szCs w:val="32"/>
          <w:highlight w:val="none"/>
          <w:lang w:val="en" w:eastAsia="en"/>
        </w:rPr>
        <w:t>中医及康复理疗项目开展适应症、操作时长、频次、配伍使用的规范性与医保结算合规性</w:t>
      </w:r>
      <w:r>
        <w:rPr>
          <w:rFonts w:hint="eastAsia" w:ascii="仿宋_GB2312" w:hAnsi="仿宋_GB2312" w:eastAsia="仿宋_GB2312" w:cs="仿宋_GB2312"/>
          <w:color w:val="auto"/>
          <w:sz w:val="32"/>
          <w:szCs w:val="32"/>
          <w:highlight w:val="none"/>
          <w:lang w:val="en-US" w:eastAsia="zh-CN"/>
        </w:rPr>
        <w:t>；</w:t>
      </w:r>
    </w:p>
    <w:p w14:paraId="6C8D8D45">
      <w:pPr>
        <w:keepNext w:val="0"/>
        <w:keepLines w:val="0"/>
        <w:pageBreakBefore w:val="0"/>
        <w:widowControl w:val="0"/>
        <w:kinsoku/>
        <w:wordWrap w:val="0"/>
        <w:overflowPunct/>
        <w:topLinePunct w:val="0"/>
        <w:autoSpaceDE/>
        <w:autoSpaceDN/>
        <w:bidi w:val="0"/>
        <w:adjustRightInd/>
        <w:snapToGrid/>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5.</w:t>
      </w:r>
      <w:r>
        <w:rPr>
          <w:rFonts w:hint="eastAsia" w:ascii="仿宋_GB2312" w:hAnsi="仿宋_GB2312" w:eastAsia="仿宋_GB2312" w:cs="仿宋_GB2312"/>
          <w:color w:val="auto"/>
          <w:sz w:val="32"/>
          <w:szCs w:val="32"/>
          <w:highlight w:val="none"/>
          <w:lang w:val="en" w:eastAsia="en"/>
        </w:rPr>
        <w:t>疾病诊断编码、手术操作编码填写的规范性、准确性、主次诊断排序逻辑</w:t>
      </w:r>
      <w:r>
        <w:rPr>
          <w:rFonts w:hint="eastAsia" w:ascii="仿宋_GB2312" w:hAnsi="仿宋_GB2312" w:eastAsia="仿宋_GB2312" w:cs="仿宋_GB2312"/>
          <w:color w:val="auto"/>
          <w:sz w:val="32"/>
          <w:szCs w:val="32"/>
          <w:highlight w:val="none"/>
          <w:lang w:val="en-US" w:eastAsia="zh-CN"/>
        </w:rPr>
        <w:t>；</w:t>
      </w:r>
    </w:p>
    <w:p w14:paraId="775E6979">
      <w:pPr>
        <w:keepLines/>
        <w:pBdr>
          <w:top w:val="none" w:color="auto" w:sz="0" w:space="0"/>
          <w:left w:val="none" w:color="auto" w:sz="0" w:space="0"/>
          <w:bottom w:val="none" w:color="auto" w:sz="0" w:space="0"/>
          <w:right w:val="none" w:color="auto" w:sz="0" w:space="0"/>
        </w:pBdr>
        <w:spacing w:before="0" w:after="0" w:line="432" w:lineRule="atLeast"/>
        <w:ind w:left="15" w:right="15"/>
        <w:rPr>
          <w:rFonts w:hint="eastAsia" w:ascii="仿宋_GB2312" w:hAnsi="仿宋_GB2312" w:eastAsia="仿宋_GB2312" w:cs="仿宋_GB2312"/>
          <w:color w:val="auto"/>
          <w:sz w:val="32"/>
          <w:szCs w:val="32"/>
          <w:highlight w:val="none"/>
          <w:lang w:val="en" w:eastAsia="en"/>
        </w:rPr>
      </w:pPr>
      <w:r>
        <w:rPr>
          <w:rFonts w:hint="eastAsia" w:ascii="仿宋_GB2312" w:hAnsi="仿宋_GB2312" w:eastAsia="仿宋_GB2312" w:cs="仿宋_GB2312"/>
          <w:color w:val="auto"/>
          <w:sz w:val="32"/>
          <w:szCs w:val="32"/>
          <w:highlight w:val="none"/>
          <w:lang w:val="en-US" w:eastAsia="zh-CN"/>
        </w:rPr>
        <w:t>6.</w:t>
      </w:r>
      <w:r>
        <w:rPr>
          <w:rFonts w:hint="eastAsia" w:ascii="仿宋_GB2312" w:hAnsi="仿宋_GB2312" w:eastAsia="仿宋_GB2312" w:cs="仿宋_GB2312"/>
          <w:color w:val="auto"/>
          <w:sz w:val="32"/>
          <w:szCs w:val="32"/>
          <w:highlight w:val="none"/>
          <w:lang w:val="en" w:eastAsia="en"/>
        </w:rPr>
        <w:t>医师、护士、药师医保履职行为、医保政策培训落实、处方开具合规管理；</w:t>
      </w:r>
    </w:p>
    <w:p w14:paraId="19B409B8">
      <w:pPr>
        <w:keepLines/>
        <w:pBdr>
          <w:top w:val="none" w:color="auto" w:sz="0" w:space="0"/>
          <w:left w:val="none" w:color="auto" w:sz="0" w:space="0"/>
          <w:bottom w:val="none" w:color="auto" w:sz="0" w:space="0"/>
          <w:right w:val="none" w:color="auto" w:sz="0" w:space="0"/>
        </w:pBdr>
        <w:spacing w:before="0" w:after="0" w:line="432" w:lineRule="atLeast"/>
        <w:ind w:left="15" w:right="15"/>
        <w:rPr>
          <w:rFonts w:hint="eastAsia" w:ascii="仿宋_GB2312" w:hAnsi="仿宋_GB2312" w:eastAsia="仿宋_GB2312" w:cs="仿宋_GB2312"/>
          <w:color w:val="auto"/>
          <w:sz w:val="32"/>
          <w:szCs w:val="32"/>
          <w:highlight w:val="none"/>
          <w:lang w:val="en" w:eastAsia="en"/>
        </w:rPr>
      </w:pPr>
      <w:r>
        <w:rPr>
          <w:rFonts w:hint="eastAsia" w:ascii="仿宋_GB2312" w:hAnsi="仿宋_GB2312" w:eastAsia="仿宋_GB2312" w:cs="仿宋_GB2312"/>
          <w:color w:val="auto"/>
          <w:sz w:val="32"/>
          <w:szCs w:val="32"/>
          <w:highlight w:val="none"/>
          <w:lang w:val="en-US" w:eastAsia="zh-CN"/>
        </w:rPr>
        <w:t>7.</w:t>
      </w:r>
      <w:r>
        <w:rPr>
          <w:rFonts w:hint="eastAsia" w:ascii="仿宋_GB2312" w:hAnsi="仿宋_GB2312" w:eastAsia="仿宋_GB2312" w:cs="仿宋_GB2312"/>
          <w:color w:val="auto"/>
          <w:sz w:val="32"/>
          <w:szCs w:val="32"/>
          <w:highlight w:val="none"/>
          <w:lang w:val="en" w:eastAsia="en"/>
        </w:rPr>
        <w:t>医疗设备检查、大型设备检查使用指征、设备收费匹配、设备维护登记合规核查；</w:t>
      </w:r>
    </w:p>
    <w:p w14:paraId="2AB73E36">
      <w:pPr>
        <w:keepNext w:val="0"/>
        <w:keepLines w:val="0"/>
        <w:pageBreakBefore w:val="0"/>
        <w:widowControl w:val="0"/>
        <w:kinsoku/>
        <w:wordWrap w:val="0"/>
        <w:overflowPunct/>
        <w:topLinePunct w:val="0"/>
        <w:autoSpaceDE/>
        <w:autoSpaceDN/>
        <w:bidi w:val="0"/>
        <w:adjustRightInd/>
        <w:snapToGrid/>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8.</w:t>
      </w:r>
      <w:r>
        <w:rPr>
          <w:rFonts w:hint="eastAsia" w:ascii="仿宋_GB2312" w:hAnsi="仿宋_GB2312" w:eastAsia="仿宋_GB2312" w:cs="仿宋_GB2312"/>
          <w:color w:val="auto"/>
          <w:sz w:val="32"/>
          <w:szCs w:val="32"/>
          <w:highlight w:val="none"/>
          <w:lang w:val="en" w:eastAsia="en"/>
        </w:rPr>
        <w:t>参保人就医材料真实性核查：病历、检查检验报告、处方、护理记录、病程记录一致性</w:t>
      </w:r>
    </w:p>
    <w:p w14:paraId="521C4FF2">
      <w:pPr>
        <w:keepNext w:val="0"/>
        <w:keepLines w:val="0"/>
        <w:pageBreakBefore w:val="0"/>
        <w:widowControl w:val="0"/>
        <w:kinsoku/>
        <w:wordWrap w:val="0"/>
        <w:overflowPunct/>
        <w:topLinePunct w:val="0"/>
        <w:autoSpaceDE/>
        <w:autoSpaceDN/>
        <w:bidi w:val="0"/>
        <w:adjustRightInd/>
        <w:snapToGrid/>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9.医疗异常行为排查，包括但不限于以下情形：</w:t>
      </w:r>
    </w:p>
    <w:p w14:paraId="14E0B7DE">
      <w:pPr>
        <w:keepNext w:val="0"/>
        <w:keepLines w:val="0"/>
        <w:pageBreakBefore w:val="0"/>
        <w:widowControl w:val="0"/>
        <w:kinsoku/>
        <w:wordWrap w:val="0"/>
        <w:overflowPunct/>
        <w:topLinePunct w:val="0"/>
        <w:autoSpaceDE/>
        <w:autoSpaceDN/>
        <w:bidi w:val="0"/>
        <w:adjustRightInd/>
        <w:snapToGrid/>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（1）无指征住院、分解住院等行为；</w:t>
      </w:r>
    </w:p>
    <w:p w14:paraId="659E07D1">
      <w:pPr>
        <w:keepNext w:val="0"/>
        <w:keepLines w:val="0"/>
        <w:pageBreakBefore w:val="0"/>
        <w:widowControl w:val="0"/>
        <w:kinsoku/>
        <w:wordWrap w:val="0"/>
        <w:overflowPunct/>
        <w:topLinePunct w:val="0"/>
        <w:autoSpaceDE/>
        <w:autoSpaceDN/>
        <w:bidi w:val="0"/>
        <w:adjustRightInd/>
        <w:snapToGrid/>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（2）违反诊疗规范过度诊疗、过度检查或提供不必要的医药服务；</w:t>
      </w:r>
    </w:p>
    <w:p w14:paraId="488F49F2">
      <w:pPr>
        <w:keepNext w:val="0"/>
        <w:keepLines w:val="0"/>
        <w:pageBreakBefore w:val="0"/>
        <w:widowControl w:val="0"/>
        <w:kinsoku/>
        <w:wordWrap w:val="0"/>
        <w:overflowPunct/>
        <w:topLinePunct w:val="0"/>
        <w:autoSpaceDE/>
        <w:autoSpaceDN/>
        <w:bidi w:val="0"/>
        <w:adjustRightInd/>
        <w:snapToGrid/>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（3）超标准收费、重复收费、分解项目收费；</w:t>
      </w:r>
    </w:p>
    <w:p w14:paraId="5928B086">
      <w:pPr>
        <w:keepNext w:val="0"/>
        <w:keepLines w:val="0"/>
        <w:pageBreakBefore w:val="0"/>
        <w:widowControl w:val="0"/>
        <w:kinsoku/>
        <w:wordWrap w:val="0"/>
        <w:overflowPunct/>
        <w:topLinePunct w:val="0"/>
        <w:autoSpaceDE/>
        <w:autoSpaceDN/>
        <w:bidi w:val="0"/>
        <w:adjustRightInd/>
        <w:snapToGrid/>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（4）</w:t>
      </w:r>
      <w:r>
        <w:rPr>
          <w:rFonts w:hint="eastAsia" w:ascii="仿宋_GB2312" w:hAnsi="仿宋_GB2312" w:eastAsia="仿宋_GB2312" w:cs="仿宋_GB2312"/>
          <w:color w:val="auto"/>
          <w:sz w:val="32"/>
          <w:szCs w:val="32"/>
          <w:highlight w:val="none"/>
          <w:lang w:val="en" w:eastAsia="en"/>
        </w:rPr>
        <w:t>虚构住院、门诊、检查、药品、耗材等医药服务项目虚假收费</w:t>
      </w:r>
      <w:r>
        <w:rPr>
          <w:rFonts w:hint="eastAsia" w:ascii="仿宋_GB2312" w:hAnsi="仿宋_GB2312" w:eastAsia="仿宋_GB2312" w:cs="仿宋_GB2312"/>
          <w:color w:val="auto"/>
          <w:sz w:val="32"/>
          <w:szCs w:val="32"/>
          <w:highlight w:val="none"/>
          <w:lang w:val="en-US" w:eastAsia="zh-CN"/>
        </w:rPr>
        <w:t>；</w:t>
      </w:r>
    </w:p>
    <w:p w14:paraId="1E28BA68">
      <w:pPr>
        <w:keepNext w:val="0"/>
        <w:keepLines w:val="0"/>
        <w:pageBreakBefore w:val="0"/>
        <w:widowControl w:val="0"/>
        <w:kinsoku/>
        <w:wordWrap w:val="0"/>
        <w:overflowPunct/>
        <w:topLinePunct w:val="0"/>
        <w:autoSpaceDE/>
        <w:autoSpaceDN/>
        <w:bidi w:val="0"/>
        <w:adjustRightInd/>
        <w:snapToGrid/>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（5）药品、医用耗材出入库记录与实际购进情况不符，存在低值高套、</w:t>
      </w:r>
      <w:r>
        <w:rPr>
          <w:rFonts w:hint="eastAsia" w:ascii="仿宋_GB2312" w:hAnsi="仿宋_GB2312" w:eastAsia="仿宋_GB2312" w:cs="仿宋_GB2312"/>
          <w:color w:val="auto"/>
          <w:sz w:val="32"/>
          <w:szCs w:val="32"/>
          <w:highlight w:val="none"/>
          <w:lang w:val="en" w:eastAsia="en"/>
        </w:rPr>
        <w:t>少用多记、串换耗材药品、</w:t>
      </w:r>
      <w:r>
        <w:rPr>
          <w:rFonts w:hint="eastAsia" w:ascii="仿宋_GB2312" w:hAnsi="仿宋_GB2312" w:eastAsia="仿宋_GB2312" w:cs="仿宋_GB2312"/>
          <w:color w:val="auto"/>
          <w:sz w:val="32"/>
          <w:szCs w:val="32"/>
          <w:highlight w:val="none"/>
          <w:lang w:val="en-US" w:eastAsia="zh-CN"/>
        </w:rPr>
        <w:t>等问题；</w:t>
      </w:r>
    </w:p>
    <w:p w14:paraId="21912DBE">
      <w:pPr>
        <w:keepNext w:val="0"/>
        <w:keepLines w:val="0"/>
        <w:pageBreakBefore w:val="0"/>
        <w:widowControl w:val="0"/>
        <w:kinsoku/>
        <w:wordWrap w:val="0"/>
        <w:overflowPunct/>
        <w:topLinePunct w:val="0"/>
        <w:autoSpaceDE/>
        <w:autoSpaceDN/>
        <w:bidi w:val="0"/>
        <w:adjustRightInd/>
        <w:snapToGrid/>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（6）</w:t>
      </w:r>
      <w:r>
        <w:rPr>
          <w:rFonts w:hint="eastAsia" w:ascii="仿宋_GB2312" w:hAnsi="仿宋_GB2312" w:eastAsia="仿宋_GB2312" w:cs="仿宋_GB2312"/>
          <w:color w:val="auto"/>
          <w:sz w:val="32"/>
          <w:szCs w:val="32"/>
          <w:highlight w:val="none"/>
          <w:lang w:val="en" w:eastAsia="en"/>
        </w:rPr>
        <w:t>将体检、自费耗材、自费药品等非医保支付范围费用混入医保结算</w:t>
      </w:r>
      <w:r>
        <w:rPr>
          <w:rFonts w:hint="eastAsia" w:ascii="仿宋_GB2312" w:hAnsi="仿宋_GB2312" w:eastAsia="仿宋_GB2312" w:cs="仿宋_GB2312"/>
          <w:color w:val="auto"/>
          <w:sz w:val="32"/>
          <w:szCs w:val="32"/>
          <w:highlight w:val="none"/>
          <w:lang w:val="en-US" w:eastAsia="zh-CN"/>
        </w:rPr>
        <w:t>；</w:t>
      </w:r>
    </w:p>
    <w:p w14:paraId="50662C43">
      <w:pPr>
        <w:keepNext w:val="0"/>
        <w:keepLines w:val="0"/>
        <w:pageBreakBefore w:val="0"/>
        <w:widowControl w:val="0"/>
        <w:kinsoku/>
        <w:wordWrap w:val="0"/>
        <w:overflowPunct/>
        <w:topLinePunct w:val="0"/>
        <w:autoSpaceDE/>
        <w:autoSpaceDN/>
        <w:bidi w:val="0"/>
        <w:adjustRightInd/>
        <w:snapToGrid/>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（7）</w:t>
      </w:r>
      <w:r>
        <w:rPr>
          <w:rFonts w:hint="eastAsia" w:ascii="仿宋_GB2312" w:hAnsi="仿宋_GB2312" w:eastAsia="仿宋_GB2312" w:cs="仿宋_GB2312"/>
          <w:color w:val="auto"/>
          <w:sz w:val="32"/>
          <w:szCs w:val="32"/>
          <w:highlight w:val="none"/>
          <w:lang w:val="en" w:eastAsia="en"/>
        </w:rPr>
        <w:t>中医、康复理疗项目超频次、超时长、无适应症开展、串换理疗项目结算</w:t>
      </w:r>
      <w:r>
        <w:rPr>
          <w:rFonts w:hint="eastAsia" w:ascii="仿宋_GB2312" w:hAnsi="仿宋_GB2312" w:eastAsia="仿宋_GB2312" w:cs="仿宋_GB2312"/>
          <w:color w:val="auto"/>
          <w:sz w:val="32"/>
          <w:szCs w:val="32"/>
          <w:highlight w:val="none"/>
          <w:lang w:val="en-US" w:eastAsia="zh-CN"/>
        </w:rPr>
        <w:t>；</w:t>
      </w:r>
    </w:p>
    <w:p w14:paraId="0096EA22">
      <w:pPr>
        <w:keepNext w:val="0"/>
        <w:keepLines w:val="0"/>
        <w:pageBreakBefore w:val="0"/>
        <w:widowControl w:val="0"/>
        <w:kinsoku/>
        <w:wordWrap w:val="0"/>
        <w:overflowPunct/>
        <w:topLinePunct w:val="0"/>
        <w:autoSpaceDE/>
        <w:autoSpaceDN/>
        <w:bidi w:val="0"/>
        <w:adjustRightInd/>
        <w:snapToGrid/>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（8）重点强化对新增医疗服务价格项目执行的合规性核；</w:t>
      </w:r>
    </w:p>
    <w:p w14:paraId="5E055961">
      <w:pPr>
        <w:keepNext w:val="0"/>
        <w:keepLines w:val="0"/>
        <w:pageBreakBefore w:val="0"/>
        <w:widowControl w:val="0"/>
        <w:kinsoku/>
        <w:wordWrap w:val="0"/>
        <w:overflowPunct/>
        <w:topLinePunct w:val="0"/>
        <w:autoSpaceDE/>
        <w:autoSpaceDN/>
        <w:bidi w:val="0"/>
        <w:adjustRightInd/>
        <w:snapToGrid/>
        <w:textAlignment w:val="auto"/>
        <w:rPr>
          <w:rFonts w:hint="eastAsia" w:ascii="仿宋_GB2312" w:hAnsi="仿宋_GB2312" w:eastAsia="仿宋_GB2312" w:cs="仿宋_GB2312"/>
          <w:color w:val="auto"/>
          <w:sz w:val="32"/>
          <w:szCs w:val="32"/>
          <w:highlight w:val="none"/>
          <w:lang w:val="en" w:eastAsia="en"/>
        </w:rPr>
      </w:pPr>
      <w:r>
        <w:rPr>
          <w:rFonts w:hint="eastAsia" w:ascii="仿宋_GB2312" w:hAnsi="仿宋_GB2312" w:eastAsia="仿宋_GB2312" w:cs="仿宋_GB2312"/>
          <w:color w:val="auto"/>
          <w:sz w:val="32"/>
          <w:szCs w:val="32"/>
          <w:highlight w:val="none"/>
          <w:lang w:val="en" w:eastAsia="en"/>
        </w:rPr>
        <w:t>（9）串换药品、耗材、诊疗项目，低标准项目按高标准收费结算；</w:t>
      </w:r>
    </w:p>
    <w:p w14:paraId="42C3238C">
      <w:pPr>
        <w:keepNext w:val="0"/>
        <w:keepLines w:val="0"/>
        <w:pageBreakBefore w:val="0"/>
        <w:widowControl w:val="0"/>
        <w:kinsoku/>
        <w:wordWrap w:val="0"/>
        <w:overflowPunct/>
        <w:topLinePunct w:val="0"/>
        <w:autoSpaceDE/>
        <w:autoSpaceDN/>
        <w:bidi w:val="0"/>
        <w:adjustRightInd/>
        <w:snapToGrid/>
        <w:textAlignment w:val="auto"/>
        <w:rPr>
          <w:rFonts w:hint="eastAsia" w:ascii="仿宋_GB2312" w:hAnsi="仿宋_GB2312" w:eastAsia="仿宋_GB2312" w:cs="仿宋_GB2312"/>
          <w:color w:val="auto"/>
          <w:sz w:val="32"/>
          <w:szCs w:val="32"/>
          <w:highlight w:val="none"/>
          <w:lang w:val="en" w:eastAsia="en"/>
        </w:rPr>
      </w:pPr>
      <w:r>
        <w:rPr>
          <w:rFonts w:hint="eastAsia" w:ascii="仿宋_GB2312" w:hAnsi="仿宋_GB2312" w:eastAsia="仿宋_GB2312" w:cs="仿宋_GB2312"/>
          <w:color w:val="auto"/>
          <w:sz w:val="32"/>
          <w:szCs w:val="32"/>
          <w:highlight w:val="none"/>
          <w:lang w:val="en-US" w:eastAsia="zh-CN"/>
        </w:rPr>
        <w:t>（10）</w:t>
      </w:r>
      <w:r>
        <w:rPr>
          <w:rFonts w:hint="eastAsia" w:ascii="仿宋_GB2312" w:hAnsi="仿宋_GB2312" w:eastAsia="仿宋_GB2312" w:cs="仿宋_GB2312"/>
          <w:color w:val="auto"/>
          <w:sz w:val="32"/>
          <w:szCs w:val="32"/>
          <w:highlight w:val="none"/>
          <w:lang w:val="en" w:eastAsia="en"/>
        </w:rPr>
        <w:t>超限量、超疗程开具药品，大处方、重复开药、不合理配伍用药；</w:t>
      </w:r>
    </w:p>
    <w:p w14:paraId="077EE9AC">
      <w:pPr>
        <w:keepLines/>
        <w:pBdr>
          <w:top w:val="none" w:color="auto" w:sz="0" w:space="0"/>
          <w:left w:val="none" w:color="auto" w:sz="0" w:space="0"/>
          <w:bottom w:val="none" w:color="auto" w:sz="0" w:space="0"/>
          <w:right w:val="none" w:color="auto" w:sz="0" w:space="0"/>
        </w:pBdr>
        <w:spacing w:before="0" w:after="0" w:line="432" w:lineRule="atLeast"/>
        <w:ind w:left="15" w:right="15"/>
        <w:rPr>
          <w:rFonts w:hint="eastAsia" w:ascii="仿宋_GB2312" w:hAnsi="仿宋_GB2312" w:eastAsia="仿宋_GB2312" w:cs="仿宋_GB2312"/>
          <w:color w:val="auto"/>
          <w:sz w:val="32"/>
          <w:szCs w:val="32"/>
          <w:highlight w:val="none"/>
          <w:lang w:val="en" w:eastAsia="en"/>
        </w:rPr>
      </w:pPr>
      <w:r>
        <w:rPr>
          <w:rFonts w:hint="eastAsia" w:ascii="仿宋_GB2312" w:hAnsi="仿宋_GB2312" w:eastAsia="仿宋_GB2312" w:cs="仿宋_GB2312"/>
          <w:color w:val="auto"/>
          <w:sz w:val="32"/>
          <w:szCs w:val="32"/>
          <w:highlight w:val="none"/>
          <w:lang w:val="en" w:eastAsia="en"/>
        </w:rPr>
        <w:t>（1</w:t>
      </w: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lang w:val="en" w:eastAsia="en"/>
        </w:rPr>
        <w:t>）特殊药品、麻醉精神药品使用指征、限量管理、结算合规；</w:t>
      </w:r>
    </w:p>
    <w:p w14:paraId="4E3FF530">
      <w:pPr>
        <w:keepNext w:val="0"/>
        <w:keepLines w:val="0"/>
        <w:pageBreakBefore w:val="0"/>
        <w:widowControl w:val="0"/>
        <w:kinsoku/>
        <w:wordWrap w:val="0"/>
        <w:overflowPunct/>
        <w:topLinePunct w:val="0"/>
        <w:autoSpaceDE/>
        <w:autoSpaceDN/>
        <w:bidi w:val="0"/>
        <w:adjustRightInd/>
        <w:snapToGrid/>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（12）其他造成医疗保障基金损失的违法行为。</w:t>
      </w:r>
    </w:p>
    <w:p w14:paraId="5A6EB45E">
      <w:pPr>
        <w:keepNext w:val="0"/>
        <w:keepLines w:val="0"/>
        <w:pageBreakBefore w:val="0"/>
        <w:widowControl w:val="0"/>
        <w:numPr>
          <w:ilvl w:val="0"/>
          <w:numId w:val="1"/>
        </w:numPr>
        <w:kinsoku/>
        <w:wordWrap w:val="0"/>
        <w:overflowPunct/>
        <w:topLinePunct w:val="0"/>
        <w:autoSpaceDE/>
        <w:autoSpaceDN/>
        <w:bidi w:val="0"/>
        <w:adjustRightInd/>
        <w:snapToGrid/>
        <w:ind w:left="0" w:leftChars="0" w:firstLine="630" w:firstLineChars="200"/>
        <w:textAlignment w:val="auto"/>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服务要求</w:t>
      </w:r>
    </w:p>
    <w:p w14:paraId="785FF661">
      <w:pPr>
        <w:keepNext w:val="0"/>
        <w:keepLines w:val="0"/>
        <w:pageBreakBefore w:val="0"/>
        <w:widowControl w:val="0"/>
        <w:numPr>
          <w:ilvl w:val="0"/>
          <w:numId w:val="2"/>
        </w:numPr>
        <w:kinsoku/>
        <w:wordWrap w:val="0"/>
        <w:overflowPunct/>
        <w:topLinePunct w:val="0"/>
        <w:autoSpaceDE/>
        <w:autoSpaceDN/>
        <w:bidi w:val="0"/>
        <w:adjustRightInd/>
        <w:snapToGrid/>
        <w:ind w:left="0" w:leftChars="0" w:firstLine="630" w:firstLineChars="200"/>
        <w:textAlignment w:val="auto"/>
        <w:rPr>
          <w:rFonts w:hint="default" w:ascii="Times New Roman" w:hAnsi="Times New Roman" w:eastAsia="仿宋" w:cs="Times New Roman"/>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团队配置：</w:t>
      </w:r>
      <w:r>
        <w:rPr>
          <w:rFonts w:hint="default" w:ascii="Times New Roman" w:hAnsi="Times New Roman" w:eastAsia="仿宋" w:cs="Times New Roman"/>
          <w:color w:val="auto"/>
          <w:sz w:val="32"/>
          <w:szCs w:val="32"/>
          <w:highlight w:val="none"/>
          <w:lang w:val="en-US" w:eastAsia="zh-CN"/>
        </w:rPr>
        <w:t>第三方</w:t>
      </w:r>
      <w:r>
        <w:rPr>
          <w:rFonts w:hint="eastAsia" w:ascii="Times New Roman" w:hAnsi="Times New Roman" w:cs="Times New Roman"/>
          <w:color w:val="auto"/>
          <w:sz w:val="32"/>
          <w:szCs w:val="32"/>
          <w:highlight w:val="none"/>
          <w:lang w:val="en-US" w:eastAsia="zh-CN"/>
        </w:rPr>
        <w:t>需</w:t>
      </w:r>
      <w:r>
        <w:rPr>
          <w:rFonts w:hint="default" w:ascii="Times New Roman" w:hAnsi="Times New Roman" w:eastAsia="仿宋" w:cs="Times New Roman"/>
          <w:color w:val="auto"/>
          <w:sz w:val="32"/>
          <w:szCs w:val="32"/>
          <w:highlight w:val="none"/>
          <w:lang w:val="en-US" w:eastAsia="zh-CN"/>
        </w:rPr>
        <w:t>组建不少于</w:t>
      </w:r>
      <w:r>
        <w:rPr>
          <w:rFonts w:hint="eastAsia" w:ascii="Times New Roman" w:hAnsi="Times New Roman" w:cs="Times New Roman"/>
          <w:color w:val="auto"/>
          <w:sz w:val="32"/>
          <w:szCs w:val="32"/>
          <w:highlight w:val="none"/>
          <w:lang w:val="en-US" w:eastAsia="zh-CN"/>
        </w:rPr>
        <w:t>10</w:t>
      </w:r>
      <w:r>
        <w:rPr>
          <w:rFonts w:hint="default" w:ascii="Times New Roman" w:hAnsi="Times New Roman" w:eastAsia="仿宋" w:cs="Times New Roman"/>
          <w:color w:val="auto"/>
          <w:sz w:val="32"/>
          <w:szCs w:val="32"/>
          <w:highlight w:val="none"/>
          <w:lang w:val="en-US" w:eastAsia="zh-CN"/>
        </w:rPr>
        <w:t>人的现场检查团队，团队成员</w:t>
      </w:r>
      <w:r>
        <w:rPr>
          <w:rFonts w:hint="eastAsia" w:ascii="Times New Roman" w:hAnsi="Times New Roman" w:cs="Times New Roman"/>
          <w:color w:val="auto"/>
          <w:sz w:val="32"/>
          <w:szCs w:val="32"/>
          <w:highlight w:val="none"/>
          <w:lang w:val="en-US" w:eastAsia="zh-CN"/>
        </w:rPr>
        <w:t>须具备</w:t>
      </w:r>
      <w:r>
        <w:rPr>
          <w:rFonts w:hint="default" w:ascii="Times New Roman" w:hAnsi="Times New Roman" w:eastAsia="仿宋" w:cs="Times New Roman"/>
          <w:color w:val="auto"/>
          <w:sz w:val="32"/>
          <w:szCs w:val="32"/>
          <w:highlight w:val="none"/>
          <w:lang w:val="en-US" w:eastAsia="zh-CN"/>
        </w:rPr>
        <w:t>省级</w:t>
      </w:r>
      <w:r>
        <w:rPr>
          <w:rFonts w:hint="eastAsia" w:ascii="Times New Roman" w:hAnsi="Times New Roman" w:cs="Times New Roman"/>
          <w:color w:val="auto"/>
          <w:sz w:val="32"/>
          <w:szCs w:val="32"/>
          <w:highlight w:val="none"/>
          <w:lang w:val="en-US" w:eastAsia="zh-CN"/>
        </w:rPr>
        <w:t>以上</w:t>
      </w:r>
      <w:r>
        <w:rPr>
          <w:rFonts w:hint="default" w:ascii="Times New Roman" w:hAnsi="Times New Roman" w:eastAsia="仿宋" w:cs="Times New Roman"/>
          <w:color w:val="auto"/>
          <w:sz w:val="32"/>
          <w:szCs w:val="32"/>
          <w:highlight w:val="none"/>
          <w:lang w:val="en-US" w:eastAsia="zh-CN"/>
        </w:rPr>
        <w:t>医保飞行检查经验</w:t>
      </w:r>
      <w:r>
        <w:rPr>
          <w:rFonts w:hint="eastAsia" w:ascii="Times New Roman" w:hAnsi="Times New Roman" w:cs="Times New Roman"/>
          <w:color w:val="auto"/>
          <w:sz w:val="32"/>
          <w:szCs w:val="32"/>
          <w:highlight w:val="none"/>
          <w:lang w:val="en-US" w:eastAsia="zh-CN"/>
        </w:rPr>
        <w:t>。</w:t>
      </w:r>
      <w:r>
        <w:rPr>
          <w:rFonts w:hint="default" w:ascii="Times New Roman" w:hAnsi="Times New Roman" w:eastAsia="仿宋" w:cs="Times New Roman"/>
          <w:color w:val="auto"/>
          <w:sz w:val="32"/>
          <w:szCs w:val="32"/>
          <w:highlight w:val="none"/>
          <w:lang w:val="en-US" w:eastAsia="zh-CN"/>
        </w:rPr>
        <w:t>现场检查时间</w:t>
      </w:r>
      <w:r>
        <w:rPr>
          <w:rFonts w:hint="default" w:ascii="Times New Roman" w:hAnsi="Times New Roman" w:eastAsia="仿宋" w:cs="Times New Roman"/>
          <w:strike w:val="0"/>
          <w:dstrike w:val="0"/>
          <w:color w:val="auto"/>
          <w:sz w:val="32"/>
          <w:szCs w:val="32"/>
          <w:highlight w:val="none"/>
          <w:lang w:val="en-US" w:eastAsia="zh-CN"/>
        </w:rPr>
        <w:t>不少于</w:t>
      </w:r>
      <w:r>
        <w:rPr>
          <w:rFonts w:hint="eastAsia" w:ascii="Times New Roman" w:hAnsi="Times New Roman" w:cs="Times New Roman"/>
          <w:strike w:val="0"/>
          <w:dstrike w:val="0"/>
          <w:color w:val="auto"/>
          <w:sz w:val="32"/>
          <w:szCs w:val="32"/>
          <w:highlight w:val="none"/>
          <w:lang w:val="en-US" w:eastAsia="zh-CN"/>
        </w:rPr>
        <w:t>5</w:t>
      </w:r>
      <w:r>
        <w:rPr>
          <w:rFonts w:hint="default" w:ascii="Times New Roman" w:hAnsi="Times New Roman" w:eastAsia="仿宋" w:cs="Times New Roman"/>
          <w:strike w:val="0"/>
          <w:dstrike w:val="0"/>
          <w:color w:val="auto"/>
          <w:sz w:val="32"/>
          <w:szCs w:val="32"/>
          <w:highlight w:val="none"/>
          <w:lang w:val="en-US" w:eastAsia="zh-CN"/>
        </w:rPr>
        <w:t>个工作日</w:t>
      </w:r>
      <w:r>
        <w:rPr>
          <w:rFonts w:hint="eastAsia" w:ascii="Times New Roman" w:hAnsi="Times New Roman" w:cs="Times New Roman"/>
          <w:strike w:val="0"/>
          <w:dstrike w:val="0"/>
          <w:color w:val="auto"/>
          <w:sz w:val="32"/>
          <w:szCs w:val="32"/>
          <w:highlight w:val="none"/>
          <w:lang w:val="en-US" w:eastAsia="zh-CN"/>
        </w:rPr>
        <w:t>，</w:t>
      </w:r>
      <w:r>
        <w:rPr>
          <w:rFonts w:hint="eastAsia" w:ascii="Times New Roman" w:hAnsi="Times New Roman" w:cs="Times New Roman"/>
          <w:color w:val="auto"/>
          <w:sz w:val="32"/>
          <w:szCs w:val="32"/>
          <w:highlight w:val="none"/>
          <w:lang w:val="en-US" w:eastAsia="zh-CN"/>
        </w:rPr>
        <w:t>累计不少于40个工作时（可按实际需要分批次安排），具体时间安排由双方协商确定，须避开临床高峰期并提前一周通知院方</w:t>
      </w:r>
      <w:r>
        <w:rPr>
          <w:rFonts w:hint="default" w:ascii="Times New Roman" w:hAnsi="Times New Roman" w:eastAsia="仿宋" w:cs="Times New Roman"/>
          <w:color w:val="auto"/>
          <w:sz w:val="32"/>
          <w:szCs w:val="32"/>
          <w:highlight w:val="none"/>
          <w:lang w:val="en-US" w:eastAsia="zh-CN"/>
        </w:rPr>
        <w:t>。</w:t>
      </w:r>
    </w:p>
    <w:p w14:paraId="177AD9E5">
      <w:pPr>
        <w:keepNext w:val="0"/>
        <w:keepLines w:val="0"/>
        <w:pageBreakBefore w:val="0"/>
        <w:widowControl w:val="0"/>
        <w:numPr>
          <w:ilvl w:val="0"/>
          <w:numId w:val="2"/>
        </w:numPr>
        <w:kinsoku/>
        <w:wordWrap w:val="0"/>
        <w:overflowPunct/>
        <w:topLinePunct w:val="0"/>
        <w:autoSpaceDE/>
        <w:autoSpaceDN/>
        <w:bidi w:val="0"/>
        <w:adjustRightInd/>
        <w:snapToGrid/>
        <w:ind w:left="0" w:leftChars="0" w:firstLine="630" w:firstLineChars="200"/>
        <w:textAlignment w:val="auto"/>
        <w:rPr>
          <w:rFonts w:hint="default" w:ascii="Times New Roman" w:hAnsi="Times New Roman" w:eastAsia="仿宋" w:cs="Times New Roman"/>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检查方式：</w:t>
      </w:r>
      <w:r>
        <w:rPr>
          <w:rFonts w:hint="eastAsia" w:ascii="Times New Roman" w:hAnsi="Times New Roman" w:cs="Times New Roman"/>
          <w:color w:val="auto"/>
          <w:sz w:val="32"/>
          <w:szCs w:val="32"/>
          <w:highlight w:val="none"/>
          <w:lang w:val="en-US" w:eastAsia="zh-CN"/>
        </w:rPr>
        <w:t>以医院医疗费用结算数据为基础支撑，以医保结算数据为核心依据，结合智能审核规则开展多维度数据分析</w:t>
      </w:r>
      <w:r>
        <w:rPr>
          <w:rFonts w:hint="default" w:ascii="Times New Roman" w:hAnsi="Times New Roman" w:eastAsia="仿宋" w:cs="Times New Roman"/>
          <w:color w:val="auto"/>
          <w:sz w:val="32"/>
          <w:szCs w:val="32"/>
          <w:highlight w:val="none"/>
          <w:lang w:val="en-US" w:eastAsia="zh-CN"/>
        </w:rPr>
        <w:t>，通过现场调阅病历、费用清单、走访患者与医护人员、核查财务账目与进销存记录等方式，</w:t>
      </w:r>
      <w:r>
        <w:rPr>
          <w:rFonts w:hint="eastAsia" w:ascii="Times New Roman" w:hAnsi="Times New Roman" w:cs="Times New Roman"/>
          <w:color w:val="auto"/>
          <w:sz w:val="32"/>
          <w:szCs w:val="32"/>
          <w:highlight w:val="none"/>
          <w:lang w:val="en-US" w:eastAsia="zh-CN"/>
        </w:rPr>
        <w:t>全面排查医保基金使用中的违规行为与潜在风险点</w:t>
      </w:r>
      <w:r>
        <w:rPr>
          <w:rFonts w:hint="default" w:ascii="Times New Roman" w:hAnsi="Times New Roman" w:eastAsia="仿宋" w:cs="Times New Roman"/>
          <w:color w:val="auto"/>
          <w:sz w:val="32"/>
          <w:szCs w:val="32"/>
          <w:highlight w:val="none"/>
          <w:lang w:val="en-US" w:eastAsia="zh-CN"/>
        </w:rPr>
        <w:t>。</w:t>
      </w:r>
      <w:r>
        <w:rPr>
          <w:rFonts w:hint="eastAsia" w:ascii="Times New Roman" w:hAnsi="Times New Roman" w:cs="Times New Roman"/>
          <w:color w:val="auto"/>
          <w:sz w:val="32"/>
          <w:szCs w:val="32"/>
          <w:highlight w:val="none"/>
          <w:lang w:val="en-US" w:eastAsia="zh-CN"/>
        </w:rPr>
        <w:t>检查过程中应与科室相关人员保持良好沟通，及时通报排查发现的问题并解答相关疑问</w:t>
      </w:r>
      <w:r>
        <w:rPr>
          <w:rFonts w:hint="default" w:ascii="Times New Roman" w:hAnsi="Times New Roman" w:eastAsia="仿宋" w:cs="Times New Roman"/>
          <w:color w:val="auto"/>
          <w:sz w:val="32"/>
          <w:szCs w:val="32"/>
          <w:highlight w:val="none"/>
          <w:lang w:val="en-US" w:eastAsia="zh-CN"/>
        </w:rPr>
        <w:t>。</w:t>
      </w:r>
    </w:p>
    <w:p w14:paraId="314C4FF4">
      <w:pPr>
        <w:keepNext w:val="0"/>
        <w:keepLines w:val="0"/>
        <w:pageBreakBefore w:val="0"/>
        <w:widowControl w:val="0"/>
        <w:numPr>
          <w:ilvl w:val="0"/>
          <w:numId w:val="2"/>
        </w:numPr>
        <w:kinsoku/>
        <w:wordWrap w:val="0"/>
        <w:overflowPunct/>
        <w:topLinePunct w:val="0"/>
        <w:autoSpaceDE/>
        <w:autoSpaceDN/>
        <w:bidi w:val="0"/>
        <w:adjustRightInd/>
        <w:snapToGrid/>
        <w:ind w:left="0" w:leftChars="0" w:firstLine="630" w:firstLineChars="200"/>
        <w:textAlignment w:val="auto"/>
        <w:rPr>
          <w:rFonts w:hint="default" w:ascii="Times New Roman" w:hAnsi="Times New Roman" w:eastAsia="仿宋" w:cs="Times New Roman"/>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报告提交：</w:t>
      </w:r>
      <w:r>
        <w:rPr>
          <w:rFonts w:hint="default" w:ascii="Times New Roman" w:hAnsi="Times New Roman" w:eastAsia="仿宋" w:cs="Times New Roman"/>
          <w:color w:val="auto"/>
          <w:sz w:val="32"/>
          <w:szCs w:val="32"/>
          <w:highlight w:val="none"/>
          <w:lang w:val="en-US" w:eastAsia="zh-CN"/>
        </w:rPr>
        <w:t>检查结束后</w:t>
      </w:r>
      <w:r>
        <w:rPr>
          <w:rFonts w:hint="eastAsia" w:ascii="Times New Roman" w:hAnsi="Times New Roman" w:cs="Times New Roman"/>
          <w:color w:val="auto"/>
          <w:sz w:val="32"/>
          <w:szCs w:val="32"/>
          <w:highlight w:val="none"/>
          <w:lang w:val="en-US" w:eastAsia="zh-CN"/>
        </w:rPr>
        <w:t>10</w:t>
      </w:r>
      <w:r>
        <w:rPr>
          <w:rFonts w:hint="default" w:ascii="Times New Roman" w:hAnsi="Times New Roman" w:eastAsia="仿宋" w:cs="Times New Roman"/>
          <w:color w:val="auto"/>
          <w:sz w:val="32"/>
          <w:szCs w:val="32"/>
          <w:highlight w:val="none"/>
          <w:lang w:val="en-US" w:eastAsia="zh-CN"/>
        </w:rPr>
        <w:t>个工作日内，提供</w:t>
      </w:r>
      <w:r>
        <w:rPr>
          <w:rFonts w:hint="eastAsia" w:ascii="Times New Roman" w:hAnsi="Times New Roman" w:cs="Times New Roman"/>
          <w:color w:val="auto"/>
          <w:sz w:val="32"/>
          <w:szCs w:val="32"/>
          <w:highlight w:val="none"/>
          <w:lang w:val="en-US" w:eastAsia="zh-CN"/>
        </w:rPr>
        <w:t>《医保基金使用管理自查自纠检查报告》</w:t>
      </w:r>
      <w:r>
        <w:rPr>
          <w:rFonts w:hint="default" w:ascii="Times New Roman" w:hAnsi="Times New Roman" w:eastAsia="仿宋" w:cs="Times New Roman"/>
          <w:color w:val="auto"/>
          <w:sz w:val="32"/>
          <w:szCs w:val="32"/>
          <w:highlight w:val="none"/>
          <w:lang w:val="en-US" w:eastAsia="zh-CN"/>
        </w:rPr>
        <w:t>。报告应包括数据统计、问题明细、涉及金额、规则提取、整改建议等内容，并附相关汇总表与明细表。</w:t>
      </w:r>
    </w:p>
    <w:p w14:paraId="7285F18F">
      <w:pPr>
        <w:keepNext w:val="0"/>
        <w:keepLines w:val="0"/>
        <w:pageBreakBefore w:val="0"/>
        <w:widowControl w:val="0"/>
        <w:numPr>
          <w:ilvl w:val="0"/>
          <w:numId w:val="2"/>
        </w:numPr>
        <w:kinsoku/>
        <w:wordWrap w:val="0"/>
        <w:overflowPunct/>
        <w:topLinePunct w:val="0"/>
        <w:autoSpaceDE/>
        <w:autoSpaceDN/>
        <w:bidi w:val="0"/>
        <w:adjustRightInd/>
        <w:snapToGrid/>
        <w:ind w:left="0" w:leftChars="0" w:firstLine="630" w:firstLineChars="200"/>
        <w:textAlignment w:val="auto"/>
        <w:rPr>
          <w:rFonts w:hint="eastAsia" w:ascii="Times New Roman" w:hAnsi="Times New Roman" w:cs="Times New Roman"/>
          <w:color w:val="auto"/>
          <w:sz w:val="32"/>
          <w:szCs w:val="32"/>
          <w:highlight w:val="none"/>
          <w:lang w:val="en-US" w:eastAsia="zh-CN"/>
        </w:rPr>
      </w:pPr>
      <w:r>
        <w:rPr>
          <w:rFonts w:hint="eastAsia" w:ascii="楷体_GB2312" w:hAnsi="楷体_GB2312" w:eastAsia="楷体_GB2312" w:cs="楷体_GB2312"/>
          <w:color w:val="auto"/>
          <w:kern w:val="2"/>
          <w:sz w:val="32"/>
          <w:szCs w:val="32"/>
          <w:highlight w:val="none"/>
          <w:lang w:eastAsia="zh-CN"/>
        </w:rPr>
        <w:t>配套增值服务</w:t>
      </w:r>
    </w:p>
    <w:p w14:paraId="4F593A6F">
      <w:pPr>
        <w:keepNext w:val="0"/>
        <w:keepLines w:val="0"/>
        <w:pageBreakBefore w:val="0"/>
        <w:widowControl w:val="0"/>
        <w:numPr>
          <w:ilvl w:val="0"/>
          <w:numId w:val="3"/>
        </w:numPr>
        <w:kinsoku/>
        <w:wordWrap w:val="0"/>
        <w:overflowPunct/>
        <w:topLinePunct w:val="0"/>
        <w:autoSpaceDE/>
        <w:autoSpaceDN/>
        <w:bidi w:val="0"/>
        <w:adjustRightInd/>
        <w:snapToGrid/>
        <w:ind w:left="0" w:leftChars="0" w:firstLine="630" w:firstLineChars="200"/>
        <w:textAlignment w:val="auto"/>
        <w:rPr>
          <w:rFonts w:hint="eastAsia" w:ascii="Times New Roman" w:hAnsi="Times New Roman" w:cs="Times New Roman"/>
          <w:color w:val="auto"/>
          <w:sz w:val="32"/>
          <w:szCs w:val="32"/>
          <w:highlight w:val="none"/>
          <w:lang w:val="en-US" w:eastAsia="zh-CN"/>
        </w:rPr>
      </w:pPr>
      <w:r>
        <w:rPr>
          <w:rFonts w:hint="eastAsia" w:ascii="Times New Roman" w:hAnsi="Times New Roman" w:cs="Times New Roman"/>
          <w:color w:val="auto"/>
          <w:sz w:val="32"/>
          <w:szCs w:val="32"/>
          <w:highlight w:val="none"/>
          <w:lang w:val="en-US" w:eastAsia="zh-CN"/>
        </w:rPr>
        <w:t>政策培训：第三方应全程参与医院组织的检查反馈会议，并在反馈会议结束后2周内，为医护人员提供全流程的整改操作培训与专业指导。</w:t>
      </w:r>
    </w:p>
    <w:p w14:paraId="73683E3C">
      <w:pPr>
        <w:keepNext w:val="0"/>
        <w:keepLines w:val="0"/>
        <w:pageBreakBefore w:val="0"/>
        <w:widowControl w:val="0"/>
        <w:numPr>
          <w:ilvl w:val="0"/>
          <w:numId w:val="3"/>
        </w:numPr>
        <w:kinsoku/>
        <w:wordWrap w:val="0"/>
        <w:overflowPunct/>
        <w:topLinePunct w:val="0"/>
        <w:autoSpaceDE/>
        <w:autoSpaceDN/>
        <w:bidi w:val="0"/>
        <w:adjustRightInd/>
        <w:snapToGrid/>
        <w:ind w:left="0" w:leftChars="0" w:firstLine="630" w:firstLineChars="200"/>
        <w:textAlignment w:val="auto"/>
        <w:rPr>
          <w:rFonts w:hint="eastAsia" w:ascii="Times New Roman" w:hAnsi="Times New Roman" w:cs="Times New Roman"/>
          <w:color w:val="auto"/>
          <w:sz w:val="32"/>
          <w:szCs w:val="32"/>
          <w:highlight w:val="none"/>
          <w:lang w:val="en-US" w:eastAsia="zh-CN"/>
        </w:rPr>
      </w:pPr>
      <w:r>
        <w:rPr>
          <w:rFonts w:hint="eastAsia" w:ascii="仿宋_GB2312" w:hAnsi="仿宋_GB2312" w:eastAsia="仿宋_GB2312" w:cs="仿宋_GB2312"/>
          <w:color w:val="auto"/>
          <w:kern w:val="2"/>
          <w:sz w:val="32"/>
          <w:szCs w:val="32"/>
          <w:highlight w:val="none"/>
          <w:lang w:eastAsia="zh-CN"/>
        </w:rPr>
        <w:t>整改后进行二次复核，验证整改成效；2027年下半年对2026年下半年至2027年上半年医疗费用数据进行筛查，出具数据分析报告并就相关问题进行培训指导等工作。</w:t>
      </w:r>
    </w:p>
    <w:p w14:paraId="039DFF52">
      <w:pPr>
        <w:keepNext w:val="0"/>
        <w:keepLines w:val="0"/>
        <w:pageBreakBefore w:val="0"/>
        <w:widowControl w:val="0"/>
        <w:numPr>
          <w:ilvl w:val="0"/>
          <w:numId w:val="3"/>
        </w:numPr>
        <w:kinsoku/>
        <w:wordWrap w:val="0"/>
        <w:overflowPunct/>
        <w:topLinePunct w:val="0"/>
        <w:autoSpaceDE/>
        <w:autoSpaceDN/>
        <w:bidi w:val="0"/>
        <w:adjustRightInd/>
        <w:snapToGrid/>
        <w:ind w:left="0" w:leftChars="0" w:firstLine="630" w:firstLineChars="200"/>
        <w:textAlignment w:val="auto"/>
        <w:rPr>
          <w:rFonts w:hint="eastAsia" w:ascii="Times New Roman" w:hAnsi="Times New Roman" w:cs="Times New Roman"/>
          <w:color w:val="auto"/>
          <w:sz w:val="32"/>
          <w:szCs w:val="32"/>
          <w:highlight w:val="none"/>
          <w:lang w:val="en-US" w:eastAsia="zh-CN"/>
        </w:rPr>
      </w:pPr>
      <w:r>
        <w:rPr>
          <w:rFonts w:hint="eastAsia" w:ascii="Times New Roman" w:hAnsi="Times New Roman" w:cs="Times New Roman"/>
          <w:color w:val="auto"/>
          <w:sz w:val="32"/>
          <w:szCs w:val="32"/>
          <w:highlight w:val="none"/>
          <w:lang w:val="en-US" w:eastAsia="zh-CN"/>
        </w:rPr>
        <w:t>智能监管：中标人服务期内，应协助医院信息科完成院内智能监管体系的完善和优化工作。</w:t>
      </w:r>
    </w:p>
    <w:p w14:paraId="65503AB4">
      <w:pPr>
        <w:keepNext w:val="0"/>
        <w:keepLines w:val="0"/>
        <w:pageBreakBefore w:val="0"/>
        <w:widowControl w:val="0"/>
        <w:numPr>
          <w:ilvl w:val="0"/>
          <w:numId w:val="3"/>
        </w:numPr>
        <w:kinsoku/>
        <w:wordWrap w:val="0"/>
        <w:overflowPunct/>
        <w:topLinePunct w:val="0"/>
        <w:autoSpaceDE/>
        <w:autoSpaceDN/>
        <w:bidi w:val="0"/>
        <w:adjustRightInd/>
        <w:snapToGrid/>
        <w:ind w:left="0" w:leftChars="0" w:firstLine="630" w:firstLineChars="200"/>
        <w:textAlignment w:val="auto"/>
        <w:rPr>
          <w:rFonts w:hint="eastAsia" w:ascii="Times New Roman" w:hAnsi="Times New Roman" w:cs="Times New Roman"/>
          <w:color w:val="auto"/>
          <w:sz w:val="32"/>
          <w:szCs w:val="32"/>
          <w:highlight w:val="none"/>
          <w:lang w:val="en-US" w:eastAsia="zh-CN"/>
        </w:rPr>
      </w:pPr>
      <w:r>
        <w:rPr>
          <w:rFonts w:hint="eastAsia" w:ascii="仿宋_GB2312" w:hAnsi="仿宋_GB2312" w:eastAsia="仿宋_GB2312" w:cs="仿宋_GB2312"/>
          <w:color w:val="auto"/>
          <w:kern w:val="2"/>
          <w:sz w:val="32"/>
          <w:szCs w:val="32"/>
          <w:highlight w:val="none"/>
          <w:lang w:eastAsia="zh-CN"/>
        </w:rPr>
        <w:t>内控体系搭建：医保审核流程、病案质控、收费复核制度优化；</w:t>
      </w:r>
    </w:p>
    <w:p w14:paraId="3DD789C6">
      <w:pPr>
        <w:keepNext w:val="0"/>
        <w:keepLines w:val="0"/>
        <w:pageBreakBefore w:val="0"/>
        <w:widowControl w:val="0"/>
        <w:numPr>
          <w:ilvl w:val="0"/>
          <w:numId w:val="3"/>
        </w:numPr>
        <w:kinsoku/>
        <w:wordWrap w:val="0"/>
        <w:overflowPunct/>
        <w:topLinePunct w:val="0"/>
        <w:autoSpaceDE/>
        <w:autoSpaceDN/>
        <w:bidi w:val="0"/>
        <w:adjustRightInd/>
        <w:snapToGrid/>
        <w:ind w:left="0" w:leftChars="0" w:firstLine="630" w:firstLineChars="200"/>
        <w:textAlignment w:val="auto"/>
        <w:rPr>
          <w:rFonts w:hint="eastAsia" w:ascii="Times New Roman" w:hAnsi="Times New Roman" w:cs="Times New Roman"/>
          <w:color w:val="auto"/>
          <w:sz w:val="32"/>
          <w:szCs w:val="32"/>
          <w:highlight w:val="none"/>
          <w:lang w:val="en-US" w:eastAsia="zh-CN"/>
        </w:rPr>
      </w:pPr>
      <w:r>
        <w:rPr>
          <w:rFonts w:hint="eastAsia" w:ascii="仿宋_GB2312" w:hAnsi="仿宋_GB2312" w:eastAsia="仿宋_GB2312" w:cs="仿宋_GB2312"/>
          <w:color w:val="auto"/>
          <w:kern w:val="2"/>
          <w:sz w:val="32"/>
          <w:szCs w:val="32"/>
          <w:highlight w:val="none"/>
          <w:lang w:val="en-US" w:eastAsia="zh-CN"/>
        </w:rPr>
        <w:t>咨询服务：中标人承诺免费提供一年医保政策咨询指导服务，积极协助采购人完成整改报告的梳理与报送工作。</w:t>
      </w:r>
    </w:p>
    <w:p w14:paraId="28EB50E0">
      <w:pPr>
        <w:keepNext w:val="0"/>
        <w:keepLines w:val="0"/>
        <w:pageBreakBefore w:val="0"/>
        <w:widowControl w:val="0"/>
        <w:numPr>
          <w:ilvl w:val="0"/>
          <w:numId w:val="2"/>
        </w:numPr>
        <w:kinsoku/>
        <w:wordWrap w:val="0"/>
        <w:overflowPunct/>
        <w:topLinePunct w:val="0"/>
        <w:autoSpaceDE/>
        <w:autoSpaceDN/>
        <w:bidi w:val="0"/>
        <w:adjustRightInd/>
        <w:snapToGrid/>
        <w:ind w:left="0" w:leftChars="0" w:firstLine="630" w:firstLineChars="200"/>
        <w:textAlignment w:val="auto"/>
        <w:rPr>
          <w:rFonts w:hint="default" w:ascii="Times New Roman" w:hAnsi="Times New Roman" w:cs="Times New Roman"/>
          <w:color w:val="auto"/>
          <w:sz w:val="32"/>
          <w:szCs w:val="32"/>
          <w:highlight w:val="none"/>
          <w:lang w:val="en-US" w:eastAsia="zh-CN"/>
        </w:rPr>
      </w:pPr>
      <w:r>
        <w:rPr>
          <w:rFonts w:hint="default" w:ascii="Times New Roman" w:hAnsi="Times New Roman" w:cs="Times New Roman"/>
          <w:b/>
          <w:bCs/>
          <w:color w:val="auto"/>
          <w:sz w:val="32"/>
          <w:szCs w:val="32"/>
          <w:highlight w:val="none"/>
          <w:lang w:val="en-US" w:eastAsia="zh-CN"/>
        </w:rPr>
        <w:t>数据保密：</w:t>
      </w:r>
      <w:r>
        <w:rPr>
          <w:rFonts w:hint="default" w:ascii="Times New Roman" w:hAnsi="Times New Roman" w:cs="Times New Roman"/>
          <w:color w:val="auto"/>
          <w:sz w:val="32"/>
          <w:szCs w:val="32"/>
          <w:highlight w:val="none"/>
          <w:lang w:val="en-US" w:eastAsia="zh-CN"/>
        </w:rPr>
        <w:t>第三方机构及其所有项目人员对本项目获取的全部数据（含患者诊疗信息、费用明细、医保结算数据、财务账目等）负有严格保密义务，不得复制、留存、外传或用于本项目之外的任何目的。</w:t>
      </w:r>
      <w:r>
        <w:rPr>
          <w:rFonts w:hint="eastAsia" w:ascii="Times New Roman" w:hAnsi="Times New Roman" w:cs="Times New Roman"/>
          <w:b/>
          <w:bCs/>
          <w:color w:val="auto"/>
          <w:sz w:val="32"/>
          <w:szCs w:val="32"/>
          <w:highlight w:val="none"/>
          <w:lang w:val="en-US" w:eastAsia="zh-CN"/>
        </w:rPr>
        <w:t>项目服务全部完成后，第三方机构须在中山市南朗医院监督下销毁所有本地存储的项目相关数据副本，并向院方出具加盖机构公章的数据销毁承诺书。</w:t>
      </w:r>
      <w:r>
        <w:rPr>
          <w:rFonts w:hint="default" w:ascii="Times New Roman" w:hAnsi="Times New Roman" w:cs="Times New Roman"/>
          <w:color w:val="auto"/>
          <w:sz w:val="32"/>
          <w:szCs w:val="32"/>
          <w:highlight w:val="none"/>
          <w:lang w:val="en-US" w:eastAsia="zh-CN"/>
        </w:rPr>
        <w:t>保密义务不因合同终止而免除。如发生数据泄露或违规使用</w:t>
      </w:r>
      <w:r>
        <w:rPr>
          <w:rFonts w:hint="eastAsia" w:ascii="Times New Roman" w:hAnsi="Times New Roman" w:cs="Times New Roman"/>
          <w:color w:val="auto"/>
          <w:sz w:val="32"/>
          <w:szCs w:val="32"/>
          <w:highlight w:val="none"/>
          <w:lang w:val="en-US" w:eastAsia="zh-CN"/>
        </w:rPr>
        <w:t>，由</w:t>
      </w:r>
      <w:r>
        <w:rPr>
          <w:rFonts w:hint="default" w:ascii="Times New Roman" w:hAnsi="Times New Roman" w:cs="Times New Roman"/>
          <w:color w:val="auto"/>
          <w:sz w:val="32"/>
          <w:szCs w:val="32"/>
          <w:highlight w:val="none"/>
          <w:lang w:val="en-US" w:eastAsia="zh-CN"/>
        </w:rPr>
        <w:t>第三方机构承担全部法律责任。</w:t>
      </w:r>
    </w:p>
    <w:p w14:paraId="7348965F">
      <w:pPr>
        <w:keepNext w:val="0"/>
        <w:keepLines w:val="0"/>
        <w:pageBreakBefore w:val="0"/>
        <w:widowControl w:val="0"/>
        <w:numPr>
          <w:ilvl w:val="0"/>
          <w:numId w:val="1"/>
        </w:numPr>
        <w:kinsoku/>
        <w:wordWrap w:val="0"/>
        <w:overflowPunct/>
        <w:topLinePunct w:val="0"/>
        <w:autoSpaceDE/>
        <w:autoSpaceDN/>
        <w:bidi w:val="0"/>
        <w:adjustRightInd/>
        <w:snapToGrid/>
        <w:ind w:left="0" w:leftChars="0" w:firstLine="630" w:firstLineChars="200"/>
        <w:textAlignment w:val="auto"/>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服务流程</w:t>
      </w:r>
    </w:p>
    <w:p w14:paraId="6BF403A9">
      <w:pPr>
        <w:keepNext w:val="0"/>
        <w:keepLines w:val="0"/>
        <w:pageBreakBefore w:val="0"/>
        <w:widowControl w:val="0"/>
        <w:kinsoku/>
        <w:wordWrap w:val="0"/>
        <w:overflowPunct/>
        <w:topLinePunct w:val="0"/>
        <w:autoSpaceDE/>
        <w:autoSpaceDN/>
        <w:bidi w:val="0"/>
        <w:adjustRightInd/>
        <w:snapToGrid/>
        <w:textAlignment w:val="auto"/>
        <w:rPr>
          <w:rFonts w:hint="default" w:ascii="Times New Roman" w:hAnsi="Times New Roman" w:eastAsia="仿宋" w:cs="Times New Roman"/>
          <w:color w:val="auto"/>
          <w:sz w:val="32"/>
          <w:szCs w:val="32"/>
          <w:highlight w:val="none"/>
          <w:lang w:val="en-US" w:eastAsia="zh-CN"/>
        </w:rPr>
      </w:pPr>
      <w:r>
        <w:rPr>
          <w:rFonts w:hint="default" w:ascii="Times New Roman" w:hAnsi="Times New Roman" w:eastAsia="仿宋" w:cs="Times New Roman"/>
          <w:color w:val="auto"/>
          <w:sz w:val="32"/>
          <w:szCs w:val="32"/>
          <w:highlight w:val="none"/>
          <w:lang w:val="en-US" w:eastAsia="zh-CN"/>
        </w:rPr>
        <w:t>1.签订服务协议；</w:t>
      </w:r>
    </w:p>
    <w:p w14:paraId="78266633">
      <w:pPr>
        <w:keepNext w:val="0"/>
        <w:keepLines w:val="0"/>
        <w:pageBreakBefore w:val="0"/>
        <w:widowControl w:val="0"/>
        <w:kinsoku/>
        <w:wordWrap w:val="0"/>
        <w:overflowPunct/>
        <w:topLinePunct w:val="0"/>
        <w:autoSpaceDE/>
        <w:autoSpaceDN/>
        <w:bidi w:val="0"/>
        <w:adjustRightInd/>
        <w:snapToGrid/>
        <w:textAlignment w:val="auto"/>
        <w:rPr>
          <w:rFonts w:hint="default" w:ascii="Times New Roman" w:hAnsi="Times New Roman" w:eastAsia="仿宋" w:cs="Times New Roman"/>
          <w:color w:val="auto"/>
          <w:sz w:val="32"/>
          <w:szCs w:val="32"/>
          <w:highlight w:val="none"/>
          <w:lang w:val="en-US" w:eastAsia="zh-CN"/>
        </w:rPr>
      </w:pPr>
      <w:r>
        <w:rPr>
          <w:rFonts w:hint="default" w:ascii="Times New Roman" w:hAnsi="Times New Roman" w:eastAsia="仿宋" w:cs="Times New Roman"/>
          <w:color w:val="auto"/>
          <w:sz w:val="32"/>
          <w:szCs w:val="32"/>
          <w:highlight w:val="none"/>
          <w:lang w:val="en-US" w:eastAsia="zh-CN"/>
        </w:rPr>
        <w:t>2.开展数据调取与前期分析；</w:t>
      </w:r>
    </w:p>
    <w:p w14:paraId="0B39C72D">
      <w:pPr>
        <w:keepNext w:val="0"/>
        <w:keepLines w:val="0"/>
        <w:pageBreakBefore w:val="0"/>
        <w:widowControl w:val="0"/>
        <w:kinsoku/>
        <w:wordWrap w:val="0"/>
        <w:overflowPunct/>
        <w:topLinePunct w:val="0"/>
        <w:autoSpaceDE/>
        <w:autoSpaceDN/>
        <w:bidi w:val="0"/>
        <w:adjustRightInd/>
        <w:snapToGrid/>
        <w:textAlignment w:val="auto"/>
        <w:rPr>
          <w:rFonts w:hint="default" w:ascii="Times New Roman" w:hAnsi="Times New Roman" w:eastAsia="仿宋" w:cs="Times New Roman"/>
          <w:color w:val="auto"/>
          <w:sz w:val="32"/>
          <w:szCs w:val="32"/>
          <w:highlight w:val="none"/>
          <w:lang w:val="en-US" w:eastAsia="zh-CN"/>
        </w:rPr>
      </w:pPr>
      <w:r>
        <w:rPr>
          <w:rFonts w:hint="default" w:ascii="Times New Roman" w:hAnsi="Times New Roman" w:eastAsia="仿宋" w:cs="Times New Roman"/>
          <w:color w:val="auto"/>
          <w:sz w:val="32"/>
          <w:szCs w:val="32"/>
          <w:highlight w:val="none"/>
          <w:lang w:val="en-US" w:eastAsia="zh-CN"/>
        </w:rPr>
        <w:t>3.现场检查与访谈；</w:t>
      </w:r>
    </w:p>
    <w:p w14:paraId="6AAABE90">
      <w:pPr>
        <w:keepNext w:val="0"/>
        <w:keepLines w:val="0"/>
        <w:pageBreakBefore w:val="0"/>
        <w:widowControl w:val="0"/>
        <w:kinsoku/>
        <w:wordWrap w:val="0"/>
        <w:overflowPunct/>
        <w:topLinePunct w:val="0"/>
        <w:autoSpaceDE/>
        <w:autoSpaceDN/>
        <w:bidi w:val="0"/>
        <w:adjustRightInd/>
        <w:snapToGrid/>
        <w:textAlignment w:val="auto"/>
        <w:rPr>
          <w:rFonts w:hint="default" w:ascii="Times New Roman" w:hAnsi="Times New Roman" w:eastAsia="仿宋" w:cs="Times New Roman"/>
          <w:color w:val="auto"/>
          <w:sz w:val="32"/>
          <w:szCs w:val="32"/>
          <w:highlight w:val="none"/>
          <w:lang w:val="en-US" w:eastAsia="zh-CN"/>
        </w:rPr>
      </w:pPr>
      <w:r>
        <w:rPr>
          <w:rFonts w:hint="default" w:ascii="Times New Roman" w:hAnsi="Times New Roman" w:eastAsia="仿宋" w:cs="Times New Roman"/>
          <w:color w:val="auto"/>
          <w:sz w:val="32"/>
          <w:szCs w:val="32"/>
          <w:highlight w:val="none"/>
          <w:lang w:val="en-US" w:eastAsia="zh-CN"/>
        </w:rPr>
        <w:t>4.问题汇总与报告撰写；</w:t>
      </w:r>
    </w:p>
    <w:p w14:paraId="2F437F83">
      <w:pPr>
        <w:keepNext w:val="0"/>
        <w:keepLines w:val="0"/>
        <w:pageBreakBefore w:val="0"/>
        <w:widowControl w:val="0"/>
        <w:kinsoku/>
        <w:wordWrap w:val="0"/>
        <w:overflowPunct/>
        <w:topLinePunct w:val="0"/>
        <w:autoSpaceDE/>
        <w:autoSpaceDN/>
        <w:bidi w:val="0"/>
        <w:adjustRightInd/>
        <w:snapToGrid/>
        <w:textAlignment w:val="auto"/>
        <w:rPr>
          <w:rFonts w:hint="default" w:ascii="Times New Roman" w:hAnsi="Times New Roman" w:eastAsia="仿宋" w:cs="Times New Roman"/>
          <w:color w:val="auto"/>
          <w:sz w:val="32"/>
          <w:szCs w:val="32"/>
          <w:highlight w:val="none"/>
          <w:lang w:val="en-US" w:eastAsia="zh-CN"/>
        </w:rPr>
      </w:pPr>
      <w:r>
        <w:rPr>
          <w:rFonts w:hint="default" w:ascii="Times New Roman" w:hAnsi="Times New Roman" w:eastAsia="仿宋" w:cs="Times New Roman"/>
          <w:color w:val="auto"/>
          <w:sz w:val="32"/>
          <w:szCs w:val="32"/>
          <w:highlight w:val="none"/>
          <w:lang w:val="en-US" w:eastAsia="zh-CN"/>
        </w:rPr>
        <w:t>5.提交报告并参与反馈会议；</w:t>
      </w:r>
    </w:p>
    <w:p w14:paraId="609BDCA4">
      <w:pPr>
        <w:keepNext w:val="0"/>
        <w:keepLines w:val="0"/>
        <w:pageBreakBefore w:val="0"/>
        <w:widowControl w:val="0"/>
        <w:kinsoku/>
        <w:wordWrap w:val="0"/>
        <w:overflowPunct/>
        <w:topLinePunct w:val="0"/>
        <w:autoSpaceDE/>
        <w:autoSpaceDN/>
        <w:bidi w:val="0"/>
        <w:adjustRightInd/>
        <w:snapToGrid/>
        <w:textAlignment w:val="auto"/>
        <w:rPr>
          <w:rFonts w:hint="default" w:ascii="Times New Roman" w:hAnsi="Times New Roman" w:eastAsia="仿宋" w:cs="Times New Roman"/>
          <w:color w:val="auto"/>
          <w:sz w:val="32"/>
          <w:szCs w:val="32"/>
          <w:highlight w:val="none"/>
          <w:lang w:val="en-US" w:eastAsia="zh-CN"/>
        </w:rPr>
      </w:pPr>
      <w:r>
        <w:rPr>
          <w:rFonts w:hint="default" w:ascii="Times New Roman" w:hAnsi="Times New Roman" w:eastAsia="仿宋" w:cs="Times New Roman"/>
          <w:color w:val="auto"/>
          <w:sz w:val="32"/>
          <w:szCs w:val="32"/>
          <w:highlight w:val="none"/>
          <w:lang w:val="en-US" w:eastAsia="zh-CN"/>
        </w:rPr>
        <w:t>6.提供整改培训与跟踪指导。</w:t>
      </w:r>
    </w:p>
    <w:p w14:paraId="55D87103">
      <w:pPr>
        <w:keepNext w:val="0"/>
        <w:keepLines w:val="0"/>
        <w:pageBreakBefore w:val="0"/>
        <w:widowControl w:val="0"/>
        <w:numPr>
          <w:ilvl w:val="0"/>
          <w:numId w:val="1"/>
        </w:numPr>
        <w:kinsoku/>
        <w:wordWrap w:val="0"/>
        <w:overflowPunct/>
        <w:topLinePunct w:val="0"/>
        <w:autoSpaceDE/>
        <w:autoSpaceDN/>
        <w:bidi w:val="0"/>
        <w:adjustRightInd/>
        <w:snapToGrid/>
        <w:ind w:left="0" w:leftChars="0" w:firstLine="630" w:firstLineChars="200"/>
        <w:textAlignment w:val="auto"/>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知识产权</w:t>
      </w:r>
    </w:p>
    <w:p w14:paraId="711AFBC0">
      <w:pPr>
        <w:keepNext w:val="0"/>
        <w:keepLines w:val="0"/>
        <w:pageBreakBefore w:val="0"/>
        <w:widowControl w:val="0"/>
        <w:kinsoku/>
        <w:wordWrap w:val="0"/>
        <w:overflowPunct/>
        <w:topLinePunct w:val="0"/>
        <w:autoSpaceDE/>
        <w:autoSpaceDN/>
        <w:bidi w:val="0"/>
        <w:adjustRightInd/>
        <w:snapToGrid/>
        <w:textAlignment w:val="auto"/>
        <w:rPr>
          <w:rFonts w:hint="eastAsia" w:ascii="Times New Roman" w:hAnsi="Times New Roman" w:eastAsia="仿宋" w:cs="Times New Roman"/>
          <w:color w:val="auto"/>
          <w:sz w:val="32"/>
          <w:szCs w:val="32"/>
          <w:highlight w:val="none"/>
          <w:lang w:val="en-US" w:eastAsia="zh-CN"/>
        </w:rPr>
      </w:pPr>
      <w:r>
        <w:rPr>
          <w:rFonts w:hint="eastAsia" w:ascii="Times New Roman" w:hAnsi="Times New Roman" w:eastAsia="仿宋" w:cs="Times New Roman"/>
          <w:color w:val="auto"/>
          <w:sz w:val="32"/>
          <w:szCs w:val="32"/>
          <w:highlight w:val="none"/>
          <w:lang w:val="en-US" w:eastAsia="zh-CN"/>
        </w:rPr>
        <w:t>本项目全部交付成果（含报告、数据汇总表、分析模型及其他衍生成果）的知识产权归中山市南朗医院所有，第三方机构不得将成果内容用于本项目之外的发表或任何商业用途。</w:t>
      </w:r>
    </w:p>
    <w:p w14:paraId="3E2B18A5">
      <w:pPr>
        <w:keepNext w:val="0"/>
        <w:keepLines w:val="0"/>
        <w:pageBreakBefore w:val="0"/>
        <w:widowControl w:val="0"/>
        <w:numPr>
          <w:ilvl w:val="0"/>
          <w:numId w:val="1"/>
        </w:numPr>
        <w:kinsoku/>
        <w:wordWrap w:val="0"/>
        <w:overflowPunct/>
        <w:topLinePunct w:val="0"/>
        <w:autoSpaceDE/>
        <w:autoSpaceDN/>
        <w:bidi w:val="0"/>
        <w:adjustRightInd/>
        <w:snapToGrid/>
        <w:ind w:left="0" w:leftChars="0" w:firstLine="630" w:firstLineChars="200"/>
        <w:textAlignment w:val="auto"/>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付款方式</w:t>
      </w:r>
    </w:p>
    <w:p w14:paraId="687B2955">
      <w:pPr>
        <w:keepNext w:val="0"/>
        <w:keepLines w:val="0"/>
        <w:pageBreakBefore w:val="0"/>
        <w:widowControl w:val="0"/>
        <w:kinsoku/>
        <w:wordWrap w:val="0"/>
        <w:overflowPunct/>
        <w:topLinePunct w:val="0"/>
        <w:autoSpaceDE/>
        <w:autoSpaceDN/>
        <w:bidi w:val="0"/>
        <w:adjustRightInd/>
        <w:snapToGrid/>
        <w:textAlignment w:val="auto"/>
        <w:rPr>
          <w:rFonts w:hint="eastAsia" w:ascii="Times New Roman" w:hAnsi="Times New Roman" w:eastAsia="仿宋" w:cs="Times New Roman"/>
          <w:color w:val="auto"/>
          <w:sz w:val="32"/>
          <w:szCs w:val="32"/>
          <w:highlight w:val="none"/>
          <w:lang w:val="en-US" w:eastAsia="zh-CN"/>
        </w:rPr>
      </w:pPr>
      <w:r>
        <w:rPr>
          <w:rFonts w:hint="eastAsia" w:ascii="Times New Roman" w:hAnsi="Times New Roman" w:eastAsia="仿宋" w:cs="Times New Roman"/>
          <w:color w:val="auto"/>
          <w:sz w:val="32"/>
          <w:szCs w:val="32"/>
          <w:highlight w:val="none"/>
          <w:lang w:val="en-US" w:eastAsia="zh-CN"/>
        </w:rPr>
        <w:t>合同签订后支付合同总金额的30%；现场检查完成并提交报告初稿后支付40%；报告验收通过、反馈会议及整改培训全部完成后</w:t>
      </w:r>
      <w:r>
        <w:rPr>
          <w:rFonts w:hint="eastAsia" w:ascii="Times New Roman" w:hAnsi="Times New Roman" w:cs="Times New Roman"/>
          <w:color w:val="auto"/>
          <w:sz w:val="32"/>
          <w:szCs w:val="32"/>
          <w:highlight w:val="none"/>
          <w:lang w:val="en-US" w:eastAsia="zh-CN"/>
        </w:rPr>
        <w:t>2</w:t>
      </w:r>
      <w:r>
        <w:rPr>
          <w:rFonts w:hint="eastAsia" w:ascii="Times New Roman" w:hAnsi="Times New Roman" w:eastAsia="仿宋" w:cs="Times New Roman"/>
          <w:color w:val="auto"/>
          <w:sz w:val="32"/>
          <w:szCs w:val="32"/>
          <w:highlight w:val="none"/>
          <w:lang w:val="en-US" w:eastAsia="zh-CN"/>
        </w:rPr>
        <w:t>0个工作日</w:t>
      </w:r>
      <w:r>
        <w:rPr>
          <w:rFonts w:hint="eastAsia" w:ascii="Times New Roman" w:hAnsi="Times New Roman" w:eastAsia="仿宋" w:cs="Times New Roman"/>
          <w:color w:val="auto"/>
          <w:sz w:val="32"/>
          <w:szCs w:val="32"/>
          <w:highlight w:val="none"/>
          <w:lang w:val="en-US" w:eastAsia="zh-CN"/>
        </w:rPr>
        <w:t>支付剩余30%。</w:t>
      </w:r>
    </w:p>
    <w:p w14:paraId="6DC15324">
      <w:pPr>
        <w:keepNext w:val="0"/>
        <w:keepLines w:val="0"/>
        <w:pageBreakBefore w:val="0"/>
        <w:widowControl w:val="0"/>
        <w:numPr>
          <w:ilvl w:val="0"/>
          <w:numId w:val="1"/>
        </w:numPr>
        <w:kinsoku/>
        <w:wordWrap w:val="0"/>
        <w:overflowPunct/>
        <w:topLinePunct w:val="0"/>
        <w:autoSpaceDE/>
        <w:autoSpaceDN/>
        <w:bidi w:val="0"/>
        <w:adjustRightInd/>
        <w:snapToGrid/>
        <w:ind w:left="0" w:leftChars="0" w:firstLine="630" w:firstLineChars="200"/>
        <w:textAlignment w:val="auto"/>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交付成果</w:t>
      </w:r>
    </w:p>
    <w:p w14:paraId="187D52BC">
      <w:pPr>
        <w:keepNext w:val="0"/>
        <w:keepLines w:val="0"/>
        <w:pageBreakBefore w:val="0"/>
        <w:widowControl w:val="0"/>
        <w:kinsoku/>
        <w:wordWrap w:val="0"/>
        <w:overflowPunct/>
        <w:topLinePunct w:val="0"/>
        <w:autoSpaceDE/>
        <w:autoSpaceDN/>
        <w:bidi w:val="0"/>
        <w:adjustRightInd/>
        <w:snapToGrid/>
        <w:textAlignment w:val="auto"/>
        <w:rPr>
          <w:rFonts w:hint="default" w:ascii="Times New Roman" w:hAnsi="Times New Roman" w:eastAsia="仿宋" w:cs="Times New Roman"/>
          <w:color w:val="auto"/>
          <w:sz w:val="32"/>
          <w:szCs w:val="32"/>
          <w:highlight w:val="none"/>
          <w:lang w:val="en-US" w:eastAsia="zh-CN"/>
        </w:rPr>
      </w:pPr>
      <w:r>
        <w:rPr>
          <w:rFonts w:hint="default" w:ascii="Times New Roman" w:hAnsi="Times New Roman" w:eastAsia="仿宋" w:cs="Times New Roman"/>
          <w:color w:val="auto"/>
          <w:sz w:val="32"/>
          <w:szCs w:val="32"/>
          <w:highlight w:val="none"/>
          <w:lang w:val="en-US" w:eastAsia="zh-CN"/>
        </w:rPr>
        <w:t>1.《医保基金</w:t>
      </w:r>
      <w:r>
        <w:rPr>
          <w:rFonts w:hint="eastAsia" w:ascii="Times New Roman" w:hAnsi="Times New Roman" w:cs="Times New Roman"/>
          <w:color w:val="auto"/>
          <w:sz w:val="32"/>
          <w:szCs w:val="32"/>
          <w:highlight w:val="none"/>
          <w:lang w:val="en-US" w:eastAsia="zh-CN"/>
        </w:rPr>
        <w:t>使用管理</w:t>
      </w:r>
      <w:r>
        <w:rPr>
          <w:rFonts w:hint="default" w:ascii="Times New Roman" w:hAnsi="Times New Roman" w:eastAsia="仿宋" w:cs="Times New Roman"/>
          <w:color w:val="auto"/>
          <w:sz w:val="32"/>
          <w:szCs w:val="32"/>
          <w:highlight w:val="none"/>
          <w:lang w:val="en-US" w:eastAsia="zh-CN"/>
        </w:rPr>
        <w:t>自查自纠检查报告》；</w:t>
      </w:r>
    </w:p>
    <w:p w14:paraId="53CE8543">
      <w:pPr>
        <w:keepNext w:val="0"/>
        <w:keepLines w:val="0"/>
        <w:pageBreakBefore w:val="0"/>
        <w:widowControl w:val="0"/>
        <w:kinsoku/>
        <w:wordWrap w:val="0"/>
        <w:overflowPunct/>
        <w:topLinePunct w:val="0"/>
        <w:autoSpaceDE/>
        <w:autoSpaceDN/>
        <w:bidi w:val="0"/>
        <w:adjustRightInd/>
        <w:snapToGrid/>
        <w:textAlignment w:val="auto"/>
        <w:rPr>
          <w:rFonts w:hint="default" w:ascii="Times New Roman" w:hAnsi="Times New Roman" w:eastAsia="仿宋" w:cs="Times New Roman"/>
          <w:color w:val="auto"/>
          <w:sz w:val="32"/>
          <w:szCs w:val="32"/>
          <w:highlight w:val="none"/>
          <w:lang w:val="en-US" w:eastAsia="zh-CN"/>
        </w:rPr>
      </w:pPr>
      <w:r>
        <w:rPr>
          <w:rFonts w:hint="default" w:ascii="Times New Roman" w:hAnsi="Times New Roman" w:eastAsia="仿宋" w:cs="Times New Roman"/>
          <w:color w:val="auto"/>
          <w:sz w:val="32"/>
          <w:szCs w:val="32"/>
          <w:highlight w:val="none"/>
          <w:lang w:val="en-US" w:eastAsia="zh-CN"/>
        </w:rPr>
        <w:t>2.问题清单与</w:t>
      </w:r>
      <w:r>
        <w:rPr>
          <w:rFonts w:hint="eastAsia" w:ascii="Times New Roman" w:hAnsi="Times New Roman" w:cs="Times New Roman"/>
          <w:color w:val="auto"/>
          <w:sz w:val="32"/>
          <w:szCs w:val="32"/>
          <w:highlight w:val="none"/>
          <w:lang w:val="en-US" w:eastAsia="zh-CN"/>
        </w:rPr>
        <w:t>相关明细</w:t>
      </w:r>
      <w:r>
        <w:rPr>
          <w:rFonts w:hint="default" w:ascii="Times New Roman" w:hAnsi="Times New Roman" w:eastAsia="仿宋" w:cs="Times New Roman"/>
          <w:color w:val="auto"/>
          <w:sz w:val="32"/>
          <w:szCs w:val="32"/>
          <w:highlight w:val="none"/>
          <w:lang w:val="en-US" w:eastAsia="zh-CN"/>
        </w:rPr>
        <w:t>表；</w:t>
      </w:r>
    </w:p>
    <w:p w14:paraId="18E5F848">
      <w:pPr>
        <w:keepNext w:val="0"/>
        <w:keepLines w:val="0"/>
        <w:pageBreakBefore w:val="0"/>
        <w:widowControl w:val="0"/>
        <w:kinsoku/>
        <w:wordWrap w:val="0"/>
        <w:overflowPunct/>
        <w:topLinePunct w:val="0"/>
        <w:autoSpaceDE/>
        <w:autoSpaceDN/>
        <w:bidi w:val="0"/>
        <w:adjustRightInd/>
        <w:snapToGrid/>
        <w:textAlignment w:val="auto"/>
        <w:rPr>
          <w:rFonts w:hint="default" w:ascii="Times New Roman" w:hAnsi="Times New Roman" w:eastAsia="仿宋" w:cs="Times New Roman"/>
          <w:color w:val="auto"/>
          <w:sz w:val="32"/>
          <w:szCs w:val="32"/>
          <w:highlight w:val="none"/>
          <w:lang w:val="en-US" w:eastAsia="zh-CN"/>
        </w:rPr>
      </w:pPr>
      <w:r>
        <w:rPr>
          <w:rFonts w:hint="default" w:ascii="Times New Roman" w:hAnsi="Times New Roman" w:eastAsia="仿宋" w:cs="Times New Roman"/>
          <w:color w:val="auto"/>
          <w:sz w:val="32"/>
          <w:szCs w:val="32"/>
          <w:highlight w:val="none"/>
          <w:lang w:val="en-US" w:eastAsia="zh-CN"/>
        </w:rPr>
        <w:t>3.培训材料与指导记录</w:t>
      </w:r>
      <w:r>
        <w:rPr>
          <w:rFonts w:hint="eastAsia" w:ascii="Times New Roman" w:hAnsi="Times New Roman" w:cs="Times New Roman"/>
          <w:color w:val="auto"/>
          <w:sz w:val="32"/>
          <w:szCs w:val="32"/>
          <w:highlight w:val="none"/>
          <w:lang w:val="en-US" w:eastAsia="zh-CN"/>
        </w:rPr>
        <w:t>。</w:t>
      </w:r>
    </w:p>
    <w:p w14:paraId="3D65E2EA">
      <w:pPr>
        <w:keepNext w:val="0"/>
        <w:keepLines w:val="0"/>
        <w:pageBreakBefore w:val="0"/>
        <w:widowControl w:val="0"/>
        <w:numPr>
          <w:ilvl w:val="0"/>
          <w:numId w:val="1"/>
        </w:numPr>
        <w:kinsoku/>
        <w:wordWrap w:val="0"/>
        <w:overflowPunct/>
        <w:topLinePunct w:val="0"/>
        <w:autoSpaceDE/>
        <w:autoSpaceDN/>
        <w:bidi w:val="0"/>
        <w:adjustRightInd/>
        <w:snapToGrid/>
        <w:ind w:left="0" w:leftChars="0" w:firstLine="630" w:firstLineChars="200"/>
        <w:textAlignment w:val="auto"/>
        <w:rPr>
          <w:rFonts w:hint="default" w:ascii="Times New Roman" w:hAnsi="Times New Roman" w:eastAsia="仿宋" w:cs="Times New Roman"/>
          <w:color w:val="auto"/>
          <w:sz w:val="32"/>
          <w:szCs w:val="32"/>
          <w:highlight w:val="none"/>
          <w:lang w:val="en-US" w:eastAsia="zh-CN"/>
        </w:rPr>
      </w:pPr>
      <w:r>
        <w:rPr>
          <w:rFonts w:hint="eastAsia" w:ascii="黑体" w:hAnsi="黑体" w:eastAsia="黑体" w:cs="黑体"/>
          <w:color w:val="auto"/>
          <w:sz w:val="32"/>
          <w:szCs w:val="32"/>
          <w:highlight w:val="none"/>
          <w:lang w:val="en-US" w:eastAsia="zh-CN"/>
        </w:rPr>
        <w:t>时间安排</w:t>
      </w:r>
    </w:p>
    <w:p w14:paraId="5766AAB4">
      <w:pPr>
        <w:keepNext w:val="0"/>
        <w:keepLines w:val="0"/>
        <w:pageBreakBefore w:val="0"/>
        <w:widowControl w:val="0"/>
        <w:kinsoku/>
        <w:wordWrap w:val="0"/>
        <w:overflowPunct/>
        <w:topLinePunct w:val="0"/>
        <w:autoSpaceDE/>
        <w:autoSpaceDN/>
        <w:bidi w:val="0"/>
        <w:adjustRightInd/>
        <w:snapToGrid/>
        <w:textAlignment w:val="auto"/>
        <w:rPr>
          <w:rFonts w:hint="default" w:ascii="Times New Roman" w:hAnsi="Times New Roman" w:eastAsia="仿宋" w:cs="Times New Roman"/>
          <w:color w:val="auto"/>
          <w:sz w:val="32"/>
          <w:szCs w:val="32"/>
          <w:highlight w:val="none"/>
          <w:lang w:val="en-US" w:eastAsia="zh-CN"/>
        </w:rPr>
      </w:pPr>
      <w:r>
        <w:rPr>
          <w:rFonts w:hint="default" w:ascii="Times New Roman" w:hAnsi="Times New Roman" w:eastAsia="仿宋" w:cs="Times New Roman"/>
          <w:color w:val="auto"/>
          <w:sz w:val="32"/>
          <w:szCs w:val="32"/>
          <w:highlight w:val="none"/>
          <w:lang w:val="en-US" w:eastAsia="zh-CN"/>
        </w:rPr>
        <w:t>服务期限自合同签订之日起至整改培训完成止，具体时</w:t>
      </w:r>
      <w:r>
        <w:rPr>
          <w:rFonts w:hint="eastAsia" w:ascii="Times New Roman" w:hAnsi="Times New Roman" w:cs="Times New Roman"/>
          <w:color w:val="auto"/>
          <w:sz w:val="32"/>
          <w:szCs w:val="32"/>
          <w:highlight w:val="none"/>
          <w:lang w:val="en-US" w:eastAsia="zh-CN"/>
        </w:rPr>
        <w:t>间由</w:t>
      </w:r>
      <w:r>
        <w:rPr>
          <w:rFonts w:hint="default" w:ascii="Times New Roman" w:hAnsi="Times New Roman" w:eastAsia="仿宋" w:cs="Times New Roman"/>
          <w:color w:val="auto"/>
          <w:sz w:val="32"/>
          <w:szCs w:val="32"/>
          <w:highlight w:val="none"/>
          <w:lang w:val="en-US" w:eastAsia="zh-CN"/>
        </w:rPr>
        <w:t>双方协商确定。报价应包含全部服务内容、差旅、培训等费用。</w:t>
      </w:r>
    </w:p>
    <w:p w14:paraId="491D6032">
      <w:pPr>
        <w:keepNext w:val="0"/>
        <w:keepLines w:val="0"/>
        <w:pageBreakBefore w:val="0"/>
        <w:widowControl w:val="0"/>
        <w:numPr>
          <w:ilvl w:val="0"/>
          <w:numId w:val="1"/>
        </w:numPr>
        <w:kinsoku/>
        <w:wordWrap w:val="0"/>
        <w:overflowPunct/>
        <w:topLinePunct w:val="0"/>
        <w:autoSpaceDE/>
        <w:autoSpaceDN/>
        <w:bidi w:val="0"/>
        <w:adjustRightInd/>
        <w:snapToGrid/>
        <w:ind w:left="0" w:leftChars="0" w:firstLine="630" w:firstLineChars="200"/>
        <w:textAlignment w:val="auto"/>
        <w:rPr>
          <w:rFonts w:hint="default" w:ascii="Times New Roman" w:hAnsi="Times New Roman" w:eastAsia="仿宋" w:cs="Times New Roman"/>
          <w:color w:val="auto"/>
          <w:sz w:val="32"/>
          <w:szCs w:val="32"/>
          <w:highlight w:val="none"/>
          <w:lang w:val="en-US" w:eastAsia="zh-CN"/>
        </w:rPr>
      </w:pPr>
      <w:r>
        <w:rPr>
          <w:rFonts w:hint="eastAsia" w:ascii="黑体" w:hAnsi="黑体" w:eastAsia="黑体" w:cs="黑体"/>
          <w:color w:val="auto"/>
          <w:sz w:val="32"/>
          <w:szCs w:val="32"/>
          <w:highlight w:val="none"/>
          <w:lang w:val="en-US" w:eastAsia="zh-CN"/>
        </w:rPr>
        <w:t>违约责任</w:t>
      </w:r>
    </w:p>
    <w:p w14:paraId="1128413D">
      <w:pPr>
        <w:keepNext w:val="0"/>
        <w:keepLines w:val="0"/>
        <w:pageBreakBefore w:val="0"/>
        <w:widowControl w:val="0"/>
        <w:numPr>
          <w:ilvl w:val="0"/>
          <w:numId w:val="0"/>
        </w:numPr>
        <w:kinsoku/>
        <w:wordWrap w:val="0"/>
        <w:overflowPunct/>
        <w:topLinePunct w:val="0"/>
        <w:autoSpaceDE/>
        <w:autoSpaceDN/>
        <w:bidi w:val="0"/>
        <w:adjustRightInd/>
        <w:snapToGrid/>
        <w:ind w:leftChars="0" w:firstLine="630" w:firstLineChars="200"/>
        <w:textAlignment w:val="auto"/>
        <w:rPr>
          <w:rFonts w:hint="default" w:ascii="Times New Roman" w:hAnsi="Times New Roman" w:eastAsia="仿宋" w:cs="Times New Roman"/>
          <w:color w:val="auto"/>
          <w:sz w:val="32"/>
          <w:szCs w:val="32"/>
          <w:highlight w:val="none"/>
          <w:lang w:val="en-US" w:eastAsia="zh-CN"/>
        </w:rPr>
      </w:pPr>
      <w:r>
        <w:rPr>
          <w:rFonts w:hint="default" w:ascii="Times New Roman" w:hAnsi="Times New Roman" w:eastAsia="仿宋" w:cs="Times New Roman"/>
          <w:color w:val="auto"/>
          <w:sz w:val="32"/>
          <w:szCs w:val="32"/>
          <w:highlight w:val="none"/>
          <w:lang w:val="en-US" w:eastAsia="zh-CN"/>
        </w:rPr>
        <w:t xml:space="preserve">1. </w:t>
      </w:r>
      <w:r>
        <w:rPr>
          <w:rFonts w:hint="eastAsia" w:ascii="Times New Roman" w:hAnsi="Times New Roman" w:cs="Times New Roman"/>
          <w:color w:val="auto"/>
          <w:sz w:val="32"/>
          <w:szCs w:val="32"/>
          <w:highlight w:val="none"/>
          <w:lang w:val="en-US" w:eastAsia="zh-CN"/>
        </w:rPr>
        <w:t>若第三方机构无正当理由未能按约定时间完成现场检查工作，每逾期1个工作日，按照合同总金额的1%扣除违约金；逾期超过10个工作日的，院方有权单方解除合同，并要求第三方机构退还已支付的全部款项。</w:t>
      </w:r>
    </w:p>
    <w:p w14:paraId="5DE6E02E">
      <w:pPr>
        <w:keepNext w:val="0"/>
        <w:keepLines w:val="0"/>
        <w:pageBreakBefore w:val="0"/>
        <w:widowControl w:val="0"/>
        <w:numPr>
          <w:ilvl w:val="0"/>
          <w:numId w:val="0"/>
        </w:numPr>
        <w:kinsoku/>
        <w:wordWrap w:val="0"/>
        <w:overflowPunct/>
        <w:topLinePunct w:val="0"/>
        <w:autoSpaceDE/>
        <w:autoSpaceDN/>
        <w:bidi w:val="0"/>
        <w:adjustRightInd/>
        <w:snapToGrid/>
        <w:ind w:leftChars="0" w:firstLine="630" w:firstLineChars="200"/>
        <w:textAlignment w:val="auto"/>
        <w:rPr>
          <w:rFonts w:hint="default" w:ascii="Times New Roman" w:hAnsi="Times New Roman" w:eastAsia="仿宋" w:cs="Times New Roman"/>
          <w:color w:val="auto"/>
          <w:sz w:val="32"/>
          <w:szCs w:val="32"/>
          <w:highlight w:val="none"/>
          <w:lang w:val="en-US" w:eastAsia="zh-CN"/>
        </w:rPr>
      </w:pPr>
      <w:r>
        <w:rPr>
          <w:rFonts w:hint="default" w:ascii="Times New Roman" w:hAnsi="Times New Roman" w:eastAsia="仿宋" w:cs="Times New Roman"/>
          <w:color w:val="auto"/>
          <w:sz w:val="32"/>
          <w:szCs w:val="32"/>
          <w:highlight w:val="none"/>
          <w:lang w:val="en-US" w:eastAsia="zh-CN"/>
        </w:rPr>
        <w:t>2. 若第三方机构无正当理由延迟交付《医保基金使用管理自查自纠检查报告》，每逾期1个工作日，扣除合同总金额的</w:t>
      </w:r>
      <w:r>
        <w:rPr>
          <w:rFonts w:hint="eastAsia" w:ascii="Times New Roman" w:hAnsi="Times New Roman" w:cs="Times New Roman"/>
          <w:color w:val="auto"/>
          <w:sz w:val="32"/>
          <w:szCs w:val="32"/>
          <w:highlight w:val="none"/>
          <w:lang w:val="en-US" w:eastAsia="zh-CN"/>
        </w:rPr>
        <w:t>1</w:t>
      </w:r>
      <w:r>
        <w:rPr>
          <w:rFonts w:hint="default" w:ascii="Times New Roman" w:hAnsi="Times New Roman" w:eastAsia="仿宋" w:cs="Times New Roman"/>
          <w:color w:val="auto"/>
          <w:sz w:val="32"/>
          <w:szCs w:val="32"/>
          <w:highlight w:val="none"/>
          <w:lang w:val="en-US" w:eastAsia="zh-CN"/>
        </w:rPr>
        <w:t>%；逾期超过15个工作日的，院方有权单方解除合同，并要求第三方机构退还已支付的全部款项。</w:t>
      </w:r>
    </w:p>
    <w:p w14:paraId="0F9D2FF0">
      <w:pPr>
        <w:keepNext w:val="0"/>
        <w:keepLines w:val="0"/>
        <w:pageBreakBefore w:val="0"/>
        <w:widowControl w:val="0"/>
        <w:numPr>
          <w:ilvl w:val="0"/>
          <w:numId w:val="0"/>
        </w:numPr>
        <w:kinsoku/>
        <w:wordWrap w:val="0"/>
        <w:overflowPunct/>
        <w:topLinePunct w:val="0"/>
        <w:autoSpaceDE/>
        <w:autoSpaceDN/>
        <w:bidi w:val="0"/>
        <w:adjustRightInd/>
        <w:snapToGrid/>
        <w:ind w:leftChars="0" w:firstLine="630" w:firstLineChars="200"/>
        <w:textAlignment w:val="auto"/>
        <w:rPr>
          <w:rFonts w:hint="default" w:ascii="Times New Roman" w:hAnsi="Times New Roman" w:eastAsia="仿宋" w:cs="Times New Roman"/>
          <w:color w:val="auto"/>
          <w:sz w:val="32"/>
          <w:szCs w:val="32"/>
          <w:highlight w:val="none"/>
          <w:lang w:val="en-US" w:eastAsia="zh-CN"/>
        </w:rPr>
      </w:pPr>
      <w:r>
        <w:rPr>
          <w:rFonts w:hint="default" w:ascii="Times New Roman" w:hAnsi="Times New Roman" w:eastAsia="仿宋" w:cs="Times New Roman"/>
          <w:color w:val="auto"/>
          <w:sz w:val="32"/>
          <w:szCs w:val="32"/>
          <w:highlight w:val="none"/>
          <w:lang w:val="en-US" w:eastAsia="zh-CN"/>
        </w:rPr>
        <w:t xml:space="preserve">3. </w:t>
      </w:r>
      <w:r>
        <w:rPr>
          <w:rFonts w:hint="eastAsia" w:ascii="Times New Roman" w:hAnsi="Times New Roman" w:cs="Times New Roman"/>
          <w:color w:val="auto"/>
          <w:sz w:val="32"/>
          <w:szCs w:val="32"/>
          <w:highlight w:val="none"/>
          <w:lang w:val="en-US" w:eastAsia="zh-CN"/>
        </w:rPr>
        <w:t>交付的报告经院方验收评审后，若存在</w:t>
      </w:r>
      <w:r>
        <w:rPr>
          <w:rFonts w:hint="eastAsia" w:ascii="Times New Roman" w:hAnsi="Times New Roman" w:cs="Times New Roman"/>
          <w:color w:val="auto"/>
          <w:sz w:val="32"/>
          <w:szCs w:val="32"/>
          <w:highlight w:val="none"/>
          <w:lang w:val="en-US" w:eastAsia="zh-CN"/>
        </w:rPr>
        <w:t>重大遗漏或明显错误，</w:t>
      </w:r>
      <w:r>
        <w:rPr>
          <w:rFonts w:hint="eastAsia" w:ascii="Times New Roman" w:hAnsi="Times New Roman" w:cs="Times New Roman"/>
          <w:color w:val="auto"/>
          <w:sz w:val="32"/>
          <w:szCs w:val="32"/>
          <w:highlight w:val="none"/>
          <w:lang w:val="en-US" w:eastAsia="zh-CN"/>
        </w:rPr>
        <w:t>第三方机构须在5个工作日内完成修改</w:t>
      </w:r>
      <w:r>
        <w:rPr>
          <w:rFonts w:hint="eastAsia" w:ascii="Times New Roman" w:hAnsi="Times New Roman" w:cs="Times New Roman"/>
          <w:b/>
          <w:bCs/>
          <w:color w:val="auto"/>
          <w:sz w:val="32"/>
          <w:szCs w:val="32"/>
          <w:highlight w:val="none"/>
          <w:lang w:val="en-US" w:eastAsia="zh-CN"/>
        </w:rPr>
        <w:t>并重新提交</w:t>
      </w:r>
      <w:r>
        <w:rPr>
          <w:rFonts w:hint="eastAsia" w:ascii="Times New Roman" w:hAnsi="Times New Roman" w:cs="Times New Roman"/>
          <w:color w:val="auto"/>
          <w:sz w:val="32"/>
          <w:szCs w:val="32"/>
          <w:highlight w:val="none"/>
          <w:lang w:val="en-US" w:eastAsia="zh-CN"/>
        </w:rPr>
        <w:t>；若修改后仍无法通过验收，院方有权解除合同，并要求第三方机构退还已支付的全部款项。</w:t>
      </w:r>
    </w:p>
    <w:p w14:paraId="6FD09CB7">
      <w:pPr>
        <w:keepNext w:val="0"/>
        <w:keepLines w:val="0"/>
        <w:pageBreakBefore w:val="0"/>
        <w:widowControl w:val="0"/>
        <w:numPr>
          <w:ilvl w:val="0"/>
          <w:numId w:val="0"/>
        </w:numPr>
        <w:kinsoku/>
        <w:wordWrap w:val="0"/>
        <w:overflowPunct/>
        <w:topLinePunct w:val="0"/>
        <w:autoSpaceDE/>
        <w:autoSpaceDN/>
        <w:bidi w:val="0"/>
        <w:adjustRightInd/>
        <w:snapToGrid/>
        <w:ind w:leftChars="0" w:firstLine="630" w:firstLineChars="200"/>
        <w:textAlignment w:val="auto"/>
        <w:rPr>
          <w:rFonts w:hint="default" w:ascii="Times New Roman" w:hAnsi="Times New Roman" w:eastAsia="仿宋" w:cs="Times New Roman"/>
          <w:b/>
          <w:bCs/>
          <w:color w:val="auto"/>
          <w:sz w:val="32"/>
          <w:szCs w:val="32"/>
          <w:highlight w:val="none"/>
          <w:lang w:val="en-US" w:eastAsia="zh-CN"/>
        </w:rPr>
      </w:pPr>
      <w:r>
        <w:rPr>
          <w:rFonts w:hint="default" w:ascii="Times New Roman" w:hAnsi="Times New Roman" w:eastAsia="仿宋" w:cs="Times New Roman"/>
          <w:color w:val="auto"/>
          <w:sz w:val="32"/>
          <w:szCs w:val="32"/>
          <w:highlight w:val="none"/>
          <w:lang w:val="en-US" w:eastAsia="zh-CN"/>
        </w:rPr>
        <w:t xml:space="preserve">4. </w:t>
      </w:r>
      <w:r>
        <w:rPr>
          <w:rFonts w:hint="eastAsia" w:ascii="Times New Roman" w:hAnsi="Times New Roman" w:cs="Times New Roman"/>
          <w:color w:val="auto"/>
          <w:sz w:val="32"/>
          <w:szCs w:val="32"/>
          <w:highlight w:val="none"/>
          <w:lang w:val="en-US" w:eastAsia="zh-CN"/>
        </w:rPr>
        <w:t>项目执行期间，未经院方书面同意，第三方机构不得擅自更换项目负责人或核心检查人员。擅自更换项目负责人的，院方有权按合同总金额的10%扣减费用；擅自更换核心检查人员达2人及以上的，院方有权单方解除合同，</w:t>
      </w:r>
      <w:r>
        <w:rPr>
          <w:rFonts w:hint="eastAsia" w:ascii="Times New Roman" w:hAnsi="Times New Roman" w:cs="Times New Roman"/>
          <w:b/>
          <w:bCs/>
          <w:color w:val="auto"/>
          <w:sz w:val="32"/>
          <w:szCs w:val="32"/>
          <w:highlight w:val="none"/>
          <w:lang w:val="en-US" w:eastAsia="zh-CN"/>
        </w:rPr>
        <w:t>并要求第三方机构赔偿因此给院方造成的直接损失。</w:t>
      </w:r>
    </w:p>
    <w:p w14:paraId="34C4EF96">
      <w:pPr>
        <w:keepNext w:val="0"/>
        <w:keepLines w:val="0"/>
        <w:pageBreakBefore w:val="0"/>
        <w:widowControl w:val="0"/>
        <w:numPr>
          <w:ilvl w:val="0"/>
          <w:numId w:val="0"/>
        </w:numPr>
        <w:kinsoku/>
        <w:wordWrap w:val="0"/>
        <w:overflowPunct/>
        <w:topLinePunct w:val="0"/>
        <w:autoSpaceDE/>
        <w:autoSpaceDN/>
        <w:bidi w:val="0"/>
        <w:adjustRightInd/>
        <w:snapToGrid/>
        <w:ind w:leftChars="0" w:firstLine="630" w:firstLineChars="200"/>
        <w:textAlignment w:val="auto"/>
        <w:rPr>
          <w:rFonts w:hint="default" w:ascii="Times New Roman" w:hAnsi="Times New Roman" w:eastAsia="仿宋" w:cs="Times New Roman"/>
          <w:color w:val="auto"/>
          <w:sz w:val="32"/>
          <w:szCs w:val="32"/>
          <w:highlight w:val="none"/>
          <w:lang w:val="en-US" w:eastAsia="zh-CN"/>
        </w:rPr>
      </w:pPr>
      <w:r>
        <w:rPr>
          <w:rFonts w:hint="eastAsia" w:ascii="Times New Roman" w:hAnsi="Times New Roman" w:cs="Times New Roman"/>
          <w:color w:val="auto"/>
          <w:sz w:val="32"/>
          <w:szCs w:val="32"/>
          <w:highlight w:val="none"/>
          <w:lang w:val="en-US" w:eastAsia="zh-CN"/>
        </w:rPr>
        <w:t>5. 因第三方机构原因造成数据泄露或违规使用数据的，除承担全部法律责任外，院方有权解除合同并要求退还全部已付款项。</w:t>
      </w:r>
    </w:p>
    <w:p w14:paraId="4AF32267">
      <w:pPr>
        <w:keepNext w:val="0"/>
        <w:keepLines w:val="0"/>
        <w:pageBreakBefore w:val="0"/>
        <w:widowControl w:val="0"/>
        <w:numPr>
          <w:ilvl w:val="0"/>
          <w:numId w:val="0"/>
        </w:numPr>
        <w:kinsoku/>
        <w:wordWrap w:val="0"/>
        <w:overflowPunct/>
        <w:topLinePunct w:val="0"/>
        <w:autoSpaceDE/>
        <w:autoSpaceDN/>
        <w:bidi w:val="0"/>
        <w:adjustRightInd/>
        <w:snapToGrid/>
        <w:ind w:leftChars="0" w:firstLine="630" w:firstLineChars="200"/>
        <w:textAlignment w:val="auto"/>
        <w:rPr>
          <w:rFonts w:hint="default" w:ascii="Times New Roman" w:hAnsi="Times New Roman" w:eastAsia="仿宋" w:cs="Times New Roman"/>
          <w:color w:val="auto"/>
          <w:sz w:val="32"/>
          <w:szCs w:val="32"/>
          <w:highlight w:val="none"/>
          <w:lang w:val="en-US" w:eastAsia="zh-CN"/>
        </w:rPr>
      </w:pPr>
      <w:r>
        <w:rPr>
          <w:rFonts w:hint="eastAsia" w:ascii="Times New Roman" w:hAnsi="Times New Roman" w:cs="Times New Roman"/>
          <w:color w:val="auto"/>
          <w:sz w:val="32"/>
          <w:szCs w:val="32"/>
          <w:highlight w:val="none"/>
          <w:lang w:val="en-US" w:eastAsia="zh-CN"/>
        </w:rPr>
        <w:t>6</w:t>
      </w:r>
      <w:r>
        <w:rPr>
          <w:rFonts w:hint="default" w:ascii="Times New Roman" w:hAnsi="Times New Roman" w:eastAsia="仿宋" w:cs="Times New Roman"/>
          <w:color w:val="auto"/>
          <w:sz w:val="32"/>
          <w:szCs w:val="32"/>
          <w:highlight w:val="none"/>
          <w:lang w:val="en-US" w:eastAsia="zh-CN"/>
        </w:rPr>
        <w:t>. 因第三方机构原因（不可抗力除外）单方提前终止合同的，须向院方支付合同总金额</w:t>
      </w:r>
      <w:r>
        <w:rPr>
          <w:rFonts w:hint="eastAsia" w:ascii="Times New Roman" w:hAnsi="Times New Roman" w:cs="Times New Roman"/>
          <w:color w:val="auto"/>
          <w:sz w:val="32"/>
          <w:szCs w:val="32"/>
          <w:highlight w:val="none"/>
          <w:lang w:val="en-US" w:eastAsia="zh-CN"/>
        </w:rPr>
        <w:t>3</w:t>
      </w:r>
      <w:r>
        <w:rPr>
          <w:rFonts w:hint="default" w:ascii="Times New Roman" w:hAnsi="Times New Roman" w:eastAsia="仿宋" w:cs="Times New Roman"/>
          <w:color w:val="auto"/>
          <w:sz w:val="32"/>
          <w:szCs w:val="32"/>
          <w:highlight w:val="none"/>
          <w:lang w:val="en-US" w:eastAsia="zh-CN"/>
        </w:rPr>
        <w:t>0%的违约金，并赔偿因此给院方造成的直接损失。</w:t>
      </w:r>
    </w:p>
    <w:p w14:paraId="58D916C5">
      <w:pPr>
        <w:keepNext w:val="0"/>
        <w:keepLines w:val="0"/>
        <w:pageBreakBefore w:val="0"/>
        <w:widowControl w:val="0"/>
        <w:kinsoku/>
        <w:wordWrap w:val="0"/>
        <w:overflowPunct/>
        <w:topLinePunct w:val="0"/>
        <w:autoSpaceDE/>
        <w:autoSpaceDN/>
        <w:bidi w:val="0"/>
        <w:adjustRightInd/>
        <w:snapToGrid/>
        <w:textAlignment w:val="auto"/>
        <w:rPr>
          <w:rFonts w:hint="default" w:ascii="Times New Roman" w:hAnsi="Times New Roman" w:eastAsia="仿宋" w:cs="Times New Roman"/>
          <w:color w:val="auto"/>
          <w:sz w:val="32"/>
          <w:szCs w:val="32"/>
          <w:highlight w:val="none"/>
          <w:lang w:val="en-US" w:eastAsia="zh-CN"/>
        </w:rPr>
      </w:pPr>
    </w:p>
    <w:p w14:paraId="439D5CA9">
      <w:pPr>
        <w:keepNext w:val="0"/>
        <w:keepLines w:val="0"/>
        <w:pageBreakBefore w:val="0"/>
        <w:widowControl w:val="0"/>
        <w:kinsoku/>
        <w:wordWrap w:val="0"/>
        <w:overflowPunct/>
        <w:topLinePunct w:val="0"/>
        <w:autoSpaceDE/>
        <w:autoSpaceDN/>
        <w:bidi w:val="0"/>
        <w:adjustRightInd/>
        <w:snapToGrid/>
        <w:textAlignment w:val="auto"/>
        <w:rPr>
          <w:rFonts w:hint="default" w:ascii="Times New Roman" w:hAnsi="Times New Roman" w:eastAsia="仿宋" w:cs="Times New Roman"/>
          <w:color w:val="auto"/>
          <w:sz w:val="32"/>
          <w:szCs w:val="32"/>
          <w:highlight w:val="none"/>
          <w:lang w:val="en-US" w:eastAsia="zh-CN"/>
        </w:rPr>
      </w:pPr>
    </w:p>
    <w:p w14:paraId="772851D9">
      <w:pPr>
        <w:keepNext w:val="0"/>
        <w:keepLines w:val="0"/>
        <w:pageBreakBefore w:val="0"/>
        <w:widowControl w:val="0"/>
        <w:kinsoku/>
        <w:wordWrap w:val="0"/>
        <w:overflowPunct/>
        <w:topLinePunct w:val="0"/>
        <w:autoSpaceDE/>
        <w:autoSpaceDN/>
        <w:bidi w:val="0"/>
        <w:adjustRightInd/>
        <w:snapToGrid/>
        <w:textAlignment w:val="auto"/>
        <w:rPr>
          <w:rFonts w:hint="default" w:ascii="Times New Roman" w:hAnsi="Times New Roman" w:eastAsia="仿宋" w:cs="Times New Roman"/>
          <w:color w:val="auto"/>
          <w:sz w:val="32"/>
          <w:szCs w:val="32"/>
          <w:highlight w:val="none"/>
          <w:lang w:val="en-US" w:eastAsia="zh-CN"/>
        </w:rPr>
      </w:pPr>
    </w:p>
    <w:p w14:paraId="55C2A250">
      <w:pPr>
        <w:keepNext w:val="0"/>
        <w:keepLines w:val="0"/>
        <w:pageBreakBefore w:val="0"/>
        <w:widowControl w:val="0"/>
        <w:kinsoku/>
        <w:wordWrap w:val="0"/>
        <w:overflowPunct/>
        <w:topLinePunct w:val="0"/>
        <w:autoSpaceDE/>
        <w:autoSpaceDN/>
        <w:bidi w:val="0"/>
        <w:adjustRightInd/>
        <w:snapToGrid/>
        <w:textAlignment w:val="auto"/>
        <w:rPr>
          <w:rFonts w:hint="default" w:ascii="Times New Roman" w:hAnsi="Times New Roman" w:eastAsia="仿宋" w:cs="Times New Roman"/>
          <w:color w:val="auto"/>
          <w:sz w:val="32"/>
          <w:szCs w:val="32"/>
          <w:highlight w:val="none"/>
          <w:lang w:val="en-US" w:eastAsia="zh-CN"/>
        </w:rPr>
      </w:pPr>
    </w:p>
    <w:p w14:paraId="107294FE">
      <w:pPr>
        <w:keepNext w:val="0"/>
        <w:keepLines w:val="0"/>
        <w:pageBreakBefore w:val="0"/>
        <w:widowControl w:val="0"/>
        <w:kinsoku/>
        <w:wordWrap w:val="0"/>
        <w:overflowPunct/>
        <w:topLinePunct w:val="0"/>
        <w:autoSpaceDE/>
        <w:autoSpaceDN/>
        <w:bidi w:val="0"/>
        <w:adjustRightInd/>
        <w:snapToGrid/>
        <w:ind w:left="0" w:leftChars="0" w:firstLine="0" w:firstLineChars="0"/>
        <w:textAlignment w:val="auto"/>
        <w:rPr>
          <w:rFonts w:hint="default" w:ascii="Times New Roman" w:hAnsi="Times New Roman" w:eastAsia="仿宋" w:cs="Times New Roman"/>
          <w:color w:val="auto"/>
          <w:sz w:val="32"/>
          <w:szCs w:val="32"/>
          <w:highlight w:val="none"/>
          <w:lang w:val="en-US" w:eastAsia="zh-CN"/>
        </w:rPr>
      </w:pPr>
    </w:p>
    <w:bookmarkEnd w:id="0"/>
    <w:sectPr>
      <w:headerReference r:id="rId7" w:type="first"/>
      <w:footerReference r:id="rId10" w:type="first"/>
      <w:headerReference r:id="rId5" w:type="default"/>
      <w:footerReference r:id="rId8" w:type="default"/>
      <w:headerReference r:id="rId6" w:type="even"/>
      <w:footerReference r:id="rId9" w:type="even"/>
      <w:pgSz w:w="11906" w:h="16838"/>
      <w:pgMar w:top="2098" w:right="1474" w:bottom="1985" w:left="1588" w:header="851" w:footer="1418" w:gutter="0"/>
      <w:pgNumType w:fmt="numberInDash"/>
      <w:cols w:space="425" w:num="1"/>
      <w:docGrid w:type="linesAndChars" w:linePitch="579" w:charSpace="-114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630"/>
      </w:pPr>
      <w:r>
        <w:separator/>
      </w:r>
    </w:p>
  </w:endnote>
  <w:endnote w:type="continuationSeparator" w:id="1">
    <w:p>
      <w:pPr>
        <w:ind w:firstLine="63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50967999"/>
      <w:docPartObj>
        <w:docPartGallery w:val="autotext"/>
      </w:docPartObj>
    </w:sdtPr>
    <w:sdtEndPr>
      <w:rPr>
        <w:rStyle w:val="10"/>
        <w:rFonts w:asciiTheme="minorEastAsia" w:hAnsiTheme="minorEastAsia" w:eastAsiaTheme="minorEastAsia"/>
        <w:sz w:val="28"/>
        <w:szCs w:val="28"/>
      </w:rPr>
    </w:sdtEndPr>
    <w:sdtContent>
      <w:p w14:paraId="1E2C62CD">
        <w:pPr>
          <w:pStyle w:val="2"/>
          <w:ind w:right="180" w:firstLine="360"/>
          <w:jc w:val="right"/>
          <w:rPr>
            <w:rStyle w:val="10"/>
          </w:rPr>
        </w:pPr>
        <w:r>
          <w:rPr>
            <w:rStyle w:val="10"/>
          </w:rPr>
          <w:fldChar w:fldCharType="begin"/>
        </w:r>
        <w:r>
          <w:rPr>
            <w:rStyle w:val="10"/>
          </w:rPr>
          <w:instrText xml:space="preserve">PAGE   \* MERGEFORMAT</w:instrText>
        </w:r>
        <w:r>
          <w:rPr>
            <w:rStyle w:val="10"/>
          </w:rPr>
          <w:fldChar w:fldCharType="separate"/>
        </w:r>
        <w:r>
          <w:rPr>
            <w:rStyle w:val="10"/>
          </w:rPr>
          <w:t>- 1 -</w:t>
        </w:r>
        <w:r>
          <w:rPr>
            <w:rStyle w:val="10"/>
          </w:rPr>
          <w:fldChar w:fldCharType="end"/>
        </w:r>
      </w:p>
    </w:sdtContent>
  </w:sdt>
  <w:p w14:paraId="32127395">
    <w:pPr>
      <w:pStyle w:val="2"/>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docPartObj>
        <w:docPartGallery w:val="autotext"/>
      </w:docPartObj>
    </w:sdtPr>
    <w:sdtEndPr>
      <w:rPr>
        <w:rFonts w:asciiTheme="minorEastAsia" w:hAnsiTheme="minorEastAsia" w:eastAsiaTheme="minorEastAsia"/>
        <w:sz w:val="28"/>
        <w:szCs w:val="28"/>
      </w:rPr>
    </w:sdtEndPr>
    <w:sdtContent>
      <w:p w14:paraId="7C716C68">
        <w:pPr>
          <w:pStyle w:val="2"/>
          <w:ind w:firstLine="180" w:firstLineChars="100"/>
          <w:rPr>
            <w:rFonts w:asciiTheme="minorEastAsia" w:hAnsiTheme="minorEastAsia" w:eastAsiaTheme="minorEastAsia"/>
            <w:sz w:val="28"/>
            <w:szCs w:val="28"/>
          </w:rPr>
        </w:pPr>
        <w:r>
          <w:rPr>
            <w:rStyle w:val="11"/>
          </w:rPr>
          <w:fldChar w:fldCharType="begin"/>
        </w:r>
        <w:r>
          <w:rPr>
            <w:rStyle w:val="11"/>
          </w:rPr>
          <w:instrText xml:space="preserve">PAGE   \* MERGEFORMAT</w:instrText>
        </w:r>
        <w:r>
          <w:rPr>
            <w:rStyle w:val="11"/>
          </w:rPr>
          <w:fldChar w:fldCharType="separate"/>
        </w:r>
        <w:r>
          <w:rPr>
            <w:rStyle w:val="11"/>
          </w:rPr>
          <w:t>2</w:t>
        </w:r>
        <w:r>
          <w:rPr>
            <w:rStyle w:val="11"/>
          </w:rPr>
          <w:fldChar w:fldCharType="end"/>
        </w:r>
      </w:p>
    </w:sdtContent>
  </w:sdt>
  <w:p w14:paraId="7CDEEEE4">
    <w:pPr>
      <w:pStyle w:val="2"/>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04C7B9">
    <w:pPr>
      <w:pStyle w:val="2"/>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630"/>
      </w:pPr>
      <w:r>
        <w:separator/>
      </w:r>
    </w:p>
  </w:footnote>
  <w:footnote w:type="continuationSeparator" w:id="1">
    <w:p>
      <w:pPr>
        <w:ind w:firstLine="63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8D8653">
    <w:pPr>
      <w:ind w:firstLine="64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CEEA02">
    <w:pPr>
      <w:ind w:firstLine="64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2B0FD5">
    <w:pPr>
      <w:pStyle w:val="3"/>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1D3F130"/>
    <w:multiLevelType w:val="singleLevel"/>
    <w:tmpl w:val="D1D3F130"/>
    <w:lvl w:ilvl="0" w:tentative="0">
      <w:start w:val="1"/>
      <w:numFmt w:val="decimal"/>
      <w:suff w:val="nothing"/>
      <w:lvlText w:val="(%1)"/>
      <w:lvlJc w:val="left"/>
      <w:pPr>
        <w:ind w:left="425" w:hanging="425"/>
      </w:pPr>
      <w:rPr>
        <w:rFonts w:hint="default"/>
      </w:rPr>
    </w:lvl>
  </w:abstractNum>
  <w:abstractNum w:abstractNumId="1">
    <w:nsid w:val="DB0D2497"/>
    <w:multiLevelType w:val="singleLevel"/>
    <w:tmpl w:val="DB0D2497"/>
    <w:lvl w:ilvl="0" w:tentative="0">
      <w:start w:val="1"/>
      <w:numFmt w:val="decimal"/>
      <w:suff w:val="nothing"/>
      <w:lvlText w:val="%1."/>
      <w:lvlJc w:val="left"/>
      <w:pPr>
        <w:ind w:left="425" w:hanging="425"/>
      </w:pPr>
      <w:rPr>
        <w:rFonts w:hint="default"/>
      </w:rPr>
    </w:lvl>
  </w:abstractNum>
  <w:abstractNum w:abstractNumId="2">
    <w:nsid w:val="63D6765F"/>
    <w:multiLevelType w:val="singleLevel"/>
    <w:tmpl w:val="63D6765F"/>
    <w:lvl w:ilvl="0" w:tentative="0">
      <w:start w:val="1"/>
      <w:numFmt w:val="chineseCounting"/>
      <w:suff w:val="nothing"/>
      <w:lvlText w:val="%1、"/>
      <w:lvlJc w:val="left"/>
      <w:pPr>
        <w:ind w:left="0" w:firstLine="420"/>
      </w:pPr>
      <w:rPr>
        <w:rFonts w:hint="eastAsia" w:ascii="黑体" w:hAnsi="黑体" w:eastAsia="黑体" w:cs="黑体"/>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evenAndOddHeaders w:val="1"/>
  <w:drawingGridHorizontalSpacing w:val="157"/>
  <w:drawingGridVerticalSpacing w:val="579"/>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EzZWQ4MjIxYjQ0YTBlZmFlZTY3MjNhOWU4MzgwYTcifQ=="/>
  </w:docVars>
  <w:rsids>
    <w:rsidRoot w:val="FEFA2639"/>
    <w:rsid w:val="00214CE3"/>
    <w:rsid w:val="002B77B2"/>
    <w:rsid w:val="002E4580"/>
    <w:rsid w:val="00306378"/>
    <w:rsid w:val="00347A7F"/>
    <w:rsid w:val="004110F5"/>
    <w:rsid w:val="00520A50"/>
    <w:rsid w:val="0053443D"/>
    <w:rsid w:val="005B7EAB"/>
    <w:rsid w:val="00627E04"/>
    <w:rsid w:val="007B64D6"/>
    <w:rsid w:val="00892070"/>
    <w:rsid w:val="00950453"/>
    <w:rsid w:val="00A45863"/>
    <w:rsid w:val="00B054B2"/>
    <w:rsid w:val="00C14AA7"/>
    <w:rsid w:val="00CC49EB"/>
    <w:rsid w:val="00DD0575"/>
    <w:rsid w:val="027A2C8C"/>
    <w:rsid w:val="03086AA8"/>
    <w:rsid w:val="07680F0D"/>
    <w:rsid w:val="088C593D"/>
    <w:rsid w:val="0BF4406D"/>
    <w:rsid w:val="10D216A0"/>
    <w:rsid w:val="125E4936"/>
    <w:rsid w:val="173F21B4"/>
    <w:rsid w:val="19B913A3"/>
    <w:rsid w:val="19BE5083"/>
    <w:rsid w:val="1EF62B7D"/>
    <w:rsid w:val="1F847374"/>
    <w:rsid w:val="1FC159C5"/>
    <w:rsid w:val="20390044"/>
    <w:rsid w:val="210C3C62"/>
    <w:rsid w:val="22A84B3A"/>
    <w:rsid w:val="28DA1CCE"/>
    <w:rsid w:val="2B6078E6"/>
    <w:rsid w:val="2B6D12EE"/>
    <w:rsid w:val="2D0852EE"/>
    <w:rsid w:val="2E724C7C"/>
    <w:rsid w:val="31293F09"/>
    <w:rsid w:val="31C45434"/>
    <w:rsid w:val="35F86B5C"/>
    <w:rsid w:val="3D3103CE"/>
    <w:rsid w:val="3F814DE0"/>
    <w:rsid w:val="49097D66"/>
    <w:rsid w:val="4F8E0AE2"/>
    <w:rsid w:val="50094078"/>
    <w:rsid w:val="609A086F"/>
    <w:rsid w:val="63F83144"/>
    <w:rsid w:val="659D3FA3"/>
    <w:rsid w:val="66531A22"/>
    <w:rsid w:val="68297D70"/>
    <w:rsid w:val="6BF37E85"/>
    <w:rsid w:val="6DB0290A"/>
    <w:rsid w:val="70A83187"/>
    <w:rsid w:val="72824A63"/>
    <w:rsid w:val="7E5E47BF"/>
    <w:rsid w:val="7EB17057"/>
    <w:rsid w:val="DDE7F6BC"/>
    <w:rsid w:val="EDFB13EC"/>
    <w:rsid w:val="FEFA2639"/>
    <w:rsid w:val="FF2F18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629" w:firstLineChars="200"/>
      <w:jc w:val="both"/>
    </w:pPr>
    <w:rPr>
      <w:rFonts w:ascii="仿宋" w:hAnsi="仿宋" w:eastAsia="仿宋" w:cstheme="minorBidi"/>
      <w:kern w:val="2"/>
      <w:sz w:val="32"/>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6"/>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脚 字符"/>
    <w:basedOn w:val="5"/>
    <w:link w:val="2"/>
    <w:qFormat/>
    <w:uiPriority w:val="99"/>
    <w:rPr>
      <w:sz w:val="18"/>
      <w:szCs w:val="18"/>
    </w:rPr>
  </w:style>
  <w:style w:type="character" w:customStyle="1" w:styleId="7">
    <w:name w:val="页眉 字符"/>
    <w:basedOn w:val="5"/>
    <w:link w:val="3"/>
    <w:qFormat/>
    <w:uiPriority w:val="99"/>
    <w:rPr>
      <w:sz w:val="18"/>
      <w:szCs w:val="18"/>
    </w:rPr>
  </w:style>
  <w:style w:type="paragraph" w:customStyle="1" w:styleId="8">
    <w:name w:val="公文奇数页脚"/>
    <w:basedOn w:val="2"/>
    <w:link w:val="10"/>
    <w:qFormat/>
    <w:uiPriority w:val="0"/>
    <w:pPr>
      <w:ind w:right="180" w:firstLine="360"/>
      <w:jc w:val="right"/>
    </w:pPr>
    <w:rPr>
      <w:rFonts w:asciiTheme="minorEastAsia" w:hAnsiTheme="minorEastAsia" w:eastAsiaTheme="minorEastAsia"/>
      <w:sz w:val="28"/>
      <w:szCs w:val="28"/>
    </w:rPr>
  </w:style>
  <w:style w:type="paragraph" w:customStyle="1" w:styleId="9">
    <w:name w:val="公文偶数页脚"/>
    <w:basedOn w:val="2"/>
    <w:link w:val="11"/>
    <w:qFormat/>
    <w:uiPriority w:val="0"/>
    <w:pPr>
      <w:ind w:firstLine="180" w:firstLineChars="100"/>
    </w:pPr>
    <w:rPr>
      <w:rFonts w:asciiTheme="minorEastAsia" w:hAnsiTheme="minorEastAsia" w:eastAsiaTheme="minorEastAsia"/>
      <w:sz w:val="28"/>
      <w:szCs w:val="28"/>
    </w:rPr>
  </w:style>
  <w:style w:type="character" w:customStyle="1" w:styleId="10">
    <w:name w:val="公文奇数页脚 字符"/>
    <w:basedOn w:val="6"/>
    <w:link w:val="8"/>
    <w:qFormat/>
    <w:uiPriority w:val="0"/>
    <w:rPr>
      <w:rFonts w:asciiTheme="minorEastAsia" w:hAnsiTheme="minorEastAsia" w:eastAsiaTheme="minorEastAsia"/>
      <w:sz w:val="28"/>
      <w:szCs w:val="28"/>
    </w:rPr>
  </w:style>
  <w:style w:type="character" w:customStyle="1" w:styleId="11">
    <w:name w:val="公文偶数页脚 字符"/>
    <w:basedOn w:val="6"/>
    <w:link w:val="9"/>
    <w:qFormat/>
    <w:uiPriority w:val="0"/>
    <w:rPr>
      <w:rFonts w:asciiTheme="minorEastAsia" w:hAnsiTheme="minorEastAsia" w:eastAsiaTheme="minorEastAsia"/>
      <w:sz w:val="28"/>
      <w:szCs w:val="28"/>
    </w:rPr>
  </w:style>
  <w:style w:type="paragraph" w:styleId="12">
    <w:name w:val="No Spacing"/>
    <w:qFormat/>
    <w:uiPriority w:val="1"/>
    <w:pPr>
      <w:widowControl w:val="0"/>
      <w:ind w:firstLine="629" w:firstLineChars="200"/>
      <w:jc w:val="both"/>
    </w:pPr>
    <w:rPr>
      <w:rFonts w:ascii="仿宋" w:hAnsi="仿宋" w:eastAsia="仿宋" w:cstheme="minorBidi"/>
      <w:kern w:val="2"/>
      <w:sz w:val="32"/>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numbering" Target="numbering.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55818D-C861-45FA-B7B8-562DA0041899}">
  <ds:schemaRefs/>
</ds:datastoreItem>
</file>

<file path=docProps/app.xml><?xml version="1.0" encoding="utf-8"?>
<Properties xmlns="http://schemas.openxmlformats.org/officeDocument/2006/extended-properties" xmlns:vt="http://schemas.openxmlformats.org/officeDocument/2006/docPropsVTypes">
  <Template>Normal.dotm</Template>
  <Pages>7</Pages>
  <Words>2754</Words>
  <Characters>2839</Characters>
  <Lines>1</Lines>
  <Paragraphs>1</Paragraphs>
  <TotalTime>9</TotalTime>
  <ScaleCrop>false</ScaleCrop>
  <LinksUpToDate>false</LinksUpToDate>
  <CharactersWithSpaces>2849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2026-01-22T07:36:00Z</dcterms:created>
  <dc:creator>王立成</dc:creator>
  <cp:lastModifiedBy>hybx</cp:lastModifiedBy>
  <dcterms:modified xsi:type="dcterms:W3CDTF">2026-07-08T07:11:55Z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DB22B1726ADC4A11BB6042E5CC96216D_13</vt:lpwstr>
  </property>
  <property fmtid="{D5CDD505-2E9C-101B-9397-08002B2CF9AE}" pid="3" name="KSOProductBuildVer">
    <vt:lpwstr>2052-12.1.0.26895</vt:lpwstr>
  </property>
  <property fmtid="{D5CDD505-2E9C-101B-9397-08002B2CF9AE}" pid="4" name="KSOTemplateDocerSaveRecord">
    <vt:lpwstr>eyJoZGlkIjoiZTIxYWJiYTVmNGU2YjQ0ODgwNDk4YWQwNjBjYWYwNjgiLCJ1c2VySWQiOiIyMzczMjQwMjIifQ==</vt:lpwstr>
  </property>
</Properties>
</file>