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ED016">
      <w:pPr>
        <w:keepNext w:val="0"/>
        <w:keepLines w:val="0"/>
        <w:pageBreakBefore w:val="0"/>
        <w:widowControl w:val="0"/>
        <w:kinsoku/>
        <w:wordWrap/>
        <w:overflowPunct/>
        <w:topLinePunct w:val="0"/>
        <w:autoSpaceDE/>
        <w:autoSpaceDN/>
        <w:bidi w:val="0"/>
        <w:snapToGrid/>
        <w:textAlignment w:val="auto"/>
        <w:rPr>
          <w:rFonts w:ascii="仿宋_GB2312" w:eastAsia="仿宋_GB2312"/>
          <w:color w:val="auto"/>
          <w:sz w:val="32"/>
          <w:szCs w:val="32"/>
          <w:highlight w:val="none"/>
        </w:rPr>
      </w:pPr>
      <w:bookmarkStart w:id="3" w:name="_GoBack"/>
      <w:r>
        <w:rPr>
          <w:rFonts w:hint="eastAsia" w:ascii="仿宋_GB2312" w:eastAsia="仿宋_GB2312"/>
          <w:color w:val="auto"/>
          <w:sz w:val="32"/>
          <w:szCs w:val="32"/>
          <w:highlight w:val="none"/>
        </w:rPr>
        <w:t>附件1：</w:t>
      </w:r>
    </w:p>
    <w:p w14:paraId="3BEA6C41">
      <w:pPr>
        <w:keepNext w:val="0"/>
        <w:keepLines w:val="0"/>
        <w:pageBreakBefore w:val="0"/>
        <w:widowControl w:val="0"/>
        <w:kinsoku/>
        <w:wordWrap/>
        <w:overflowPunct/>
        <w:topLinePunct w:val="0"/>
        <w:autoSpaceDE/>
        <w:autoSpaceDN/>
        <w:bidi w:val="0"/>
        <w:snapToGrid/>
        <w:jc w:val="center"/>
        <w:textAlignment w:val="auto"/>
        <w:rPr>
          <w:rFonts w:hint="eastAsia" w:ascii="公文小标宋简" w:eastAsia="公文小标宋简"/>
          <w:color w:val="auto"/>
          <w:sz w:val="44"/>
          <w:szCs w:val="44"/>
          <w:highlight w:val="none"/>
          <w:lang w:eastAsia="zh-CN"/>
        </w:rPr>
      </w:pPr>
      <w:r>
        <w:rPr>
          <w:rFonts w:hint="eastAsia" w:ascii="公文小标宋简" w:eastAsia="公文小标宋简"/>
          <w:color w:val="auto"/>
          <w:sz w:val="44"/>
          <w:szCs w:val="44"/>
          <w:highlight w:val="none"/>
          <w:lang w:eastAsia="zh-CN"/>
        </w:rPr>
        <w:t>中山市南朗医院2026年-2028年事业单位</w:t>
      </w:r>
    </w:p>
    <w:p w14:paraId="3FDC0D59">
      <w:pPr>
        <w:keepNext w:val="0"/>
        <w:keepLines w:val="0"/>
        <w:pageBreakBefore w:val="0"/>
        <w:widowControl w:val="0"/>
        <w:kinsoku/>
        <w:wordWrap/>
        <w:overflowPunct/>
        <w:topLinePunct w:val="0"/>
        <w:autoSpaceDE/>
        <w:autoSpaceDN/>
        <w:bidi w:val="0"/>
        <w:snapToGrid/>
        <w:jc w:val="center"/>
        <w:textAlignment w:val="auto"/>
        <w:rPr>
          <w:rFonts w:hint="eastAsia" w:ascii="公文小标宋简" w:eastAsia="公文小标宋简"/>
          <w:color w:val="auto"/>
          <w:sz w:val="44"/>
          <w:szCs w:val="44"/>
          <w:highlight w:val="none"/>
          <w:lang w:eastAsia="zh-CN"/>
        </w:rPr>
      </w:pPr>
      <w:r>
        <w:rPr>
          <w:rFonts w:hint="eastAsia" w:ascii="公文小标宋简" w:eastAsia="公文小标宋简"/>
          <w:color w:val="auto"/>
          <w:sz w:val="44"/>
          <w:szCs w:val="44"/>
          <w:highlight w:val="none"/>
          <w:lang w:eastAsia="zh-CN"/>
        </w:rPr>
        <w:t>公开招聘考试服务项目院内</w:t>
      </w:r>
      <w:r>
        <w:rPr>
          <w:rFonts w:hint="eastAsia" w:ascii="公文小标宋简" w:eastAsia="公文小标宋简"/>
          <w:color w:val="auto"/>
          <w:sz w:val="44"/>
          <w:szCs w:val="44"/>
          <w:highlight w:val="none"/>
          <w:lang w:val="en-US" w:eastAsia="zh-CN"/>
        </w:rPr>
        <w:t>比选要求</w:t>
      </w:r>
    </w:p>
    <w:p w14:paraId="7FE73C0F">
      <w:pPr>
        <w:keepNext w:val="0"/>
        <w:keepLines w:val="0"/>
        <w:pageBreakBefore w:val="0"/>
        <w:widowControl w:val="0"/>
        <w:kinsoku/>
        <w:wordWrap/>
        <w:overflowPunct/>
        <w:topLinePunct w:val="0"/>
        <w:autoSpaceDE/>
        <w:autoSpaceDN/>
        <w:bidi w:val="0"/>
        <w:adjustRightInd w:val="0"/>
        <w:snapToGrid/>
        <w:spacing w:line="348" w:lineRule="auto"/>
        <w:ind w:firstLine="40" w:firstLineChars="200"/>
        <w:jc w:val="left"/>
        <w:textAlignment w:val="auto"/>
        <w:rPr>
          <w:rFonts w:hint="eastAsia" w:ascii="仿宋_GB2312" w:hAnsi="仿宋_GB2312" w:eastAsia="仿宋_GB2312" w:cs="仿宋_GB2312"/>
          <w:color w:val="auto"/>
          <w:sz w:val="2"/>
          <w:szCs w:val="2"/>
          <w:highlight w:val="none"/>
        </w:rPr>
      </w:pPr>
    </w:p>
    <w:p w14:paraId="54E4F1DD">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项目：</w:t>
      </w:r>
      <w:r>
        <w:rPr>
          <w:rFonts w:hint="eastAsia" w:ascii="仿宋_GB2312" w:hAnsi="仿宋_GB2312" w:eastAsia="仿宋_GB2312" w:cs="仿宋_GB2312"/>
          <w:color w:val="auto"/>
          <w:sz w:val="32"/>
          <w:szCs w:val="32"/>
          <w:highlight w:val="none"/>
          <w:lang w:eastAsia="zh-CN"/>
        </w:rPr>
        <w:t>中山市南朗医院2026年-2028年事业单位公开招聘考试服务项目</w:t>
      </w:r>
    </w:p>
    <w:p w14:paraId="56C34241">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default"/>
          <w:highlight w:val="none"/>
          <w:lang w:val="en-US" w:eastAsia="zh-CN"/>
        </w:rPr>
      </w:pPr>
      <w:r>
        <w:rPr>
          <w:rFonts w:hint="eastAsia" w:ascii="仿宋_GB2312" w:hAnsi="仿宋_GB2312" w:eastAsia="仿宋_GB2312" w:cs="仿宋_GB2312"/>
          <w:color w:val="auto"/>
          <w:sz w:val="32"/>
          <w:szCs w:val="32"/>
          <w:highlight w:val="none"/>
          <w:lang w:val="en-US" w:eastAsia="zh-CN"/>
        </w:rPr>
        <w:t>项目</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lang w:val="en-US" w:eastAsia="zh-CN"/>
        </w:rPr>
        <w:t>78,648.00元，若服务周期未满但实际发生费用已达78,648.00元，项目即时终止。</w:t>
      </w:r>
    </w:p>
    <w:p w14:paraId="2B2DDE75">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采购</w:t>
      </w:r>
      <w:r>
        <w:rPr>
          <w:rFonts w:hint="eastAsia" w:ascii="仿宋_GB2312" w:hAnsi="仿宋_GB2312" w:eastAsia="仿宋_GB2312" w:cs="仿宋_GB2312"/>
          <w:color w:val="auto"/>
          <w:sz w:val="32"/>
          <w:szCs w:val="32"/>
          <w:highlight w:val="none"/>
        </w:rPr>
        <w:t>形式：</w:t>
      </w:r>
      <w:r>
        <w:rPr>
          <w:rFonts w:hint="eastAsia" w:ascii="仿宋_GB2312" w:hAnsi="仿宋_GB2312" w:eastAsia="仿宋_GB2312" w:cs="仿宋_GB2312"/>
          <w:color w:val="auto"/>
          <w:sz w:val="32"/>
          <w:szCs w:val="32"/>
          <w:highlight w:val="none"/>
          <w:lang w:eastAsia="zh-CN"/>
        </w:rPr>
        <w:t>院内</w:t>
      </w:r>
      <w:r>
        <w:rPr>
          <w:rFonts w:hint="eastAsia" w:ascii="仿宋_GB2312" w:hAnsi="仿宋_GB2312" w:eastAsia="仿宋_GB2312" w:cs="仿宋_GB2312"/>
          <w:color w:val="auto"/>
          <w:sz w:val="32"/>
          <w:szCs w:val="32"/>
          <w:highlight w:val="none"/>
          <w:lang w:val="en-US" w:eastAsia="zh-CN"/>
        </w:rPr>
        <w:t>比选</w:t>
      </w:r>
    </w:p>
    <w:p w14:paraId="6E9F6D4D">
      <w:pPr>
        <w:keepNext w:val="0"/>
        <w:keepLines w:val="0"/>
        <w:pageBreakBefore w:val="0"/>
        <w:widowControl w:val="0"/>
        <w:kinsoku/>
        <w:wordWrap/>
        <w:overflowPunct/>
        <w:topLinePunct w:val="0"/>
        <w:autoSpaceDE/>
        <w:autoSpaceDN/>
        <w:bidi w:val="0"/>
        <w:adjustRightInd w:val="0"/>
        <w:snapToGrid/>
        <w:spacing w:line="348" w:lineRule="auto"/>
        <w:ind w:firstLine="608" w:firstLineChars="19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为保障</w:t>
      </w:r>
      <w:r>
        <w:rPr>
          <w:rFonts w:hint="eastAsia" w:ascii="仿宋_GB2312" w:hAnsi="仿宋_GB2312" w:eastAsia="仿宋_GB2312" w:cs="仿宋_GB2312"/>
          <w:color w:val="auto"/>
          <w:sz w:val="32"/>
          <w:szCs w:val="32"/>
          <w:highlight w:val="none"/>
          <w:lang w:eastAsia="zh-CN"/>
        </w:rPr>
        <w:t>中山市南朗医院2026年-2028年事业单位公开招聘考试服务项目</w:t>
      </w:r>
      <w:r>
        <w:rPr>
          <w:rFonts w:hint="eastAsia" w:ascii="仿宋_GB2312" w:hAnsi="仿宋_GB2312" w:eastAsia="仿宋_GB2312" w:cs="仿宋_GB2312"/>
          <w:color w:val="auto"/>
          <w:sz w:val="32"/>
          <w:szCs w:val="32"/>
          <w:highlight w:val="none"/>
        </w:rPr>
        <w:t>工作</w:t>
      </w:r>
      <w:r>
        <w:rPr>
          <w:rFonts w:hint="eastAsia" w:ascii="仿宋_GB2312" w:hAnsi="仿宋_GB2312" w:eastAsia="仿宋_GB2312" w:cs="仿宋_GB2312"/>
          <w:color w:val="auto"/>
          <w:sz w:val="32"/>
          <w:szCs w:val="32"/>
          <w:highlight w:val="none"/>
          <w:lang w:eastAsia="zh-CN"/>
        </w:rPr>
        <w:t>的</w:t>
      </w:r>
      <w:r>
        <w:rPr>
          <w:rFonts w:hint="eastAsia" w:ascii="仿宋_GB2312" w:hAnsi="仿宋_GB2312" w:eastAsia="仿宋_GB2312" w:cs="仿宋_GB2312"/>
          <w:color w:val="auto"/>
          <w:sz w:val="32"/>
          <w:szCs w:val="32"/>
          <w:highlight w:val="none"/>
        </w:rPr>
        <w:t>顺利开展，经决定，以</w:t>
      </w:r>
      <w:r>
        <w:rPr>
          <w:rFonts w:hint="eastAsia" w:ascii="仿宋_GB2312" w:hAnsi="仿宋_GB2312" w:eastAsia="仿宋_GB2312" w:cs="仿宋_GB2312"/>
          <w:color w:val="auto"/>
          <w:sz w:val="32"/>
          <w:szCs w:val="32"/>
          <w:highlight w:val="none"/>
          <w:lang w:eastAsia="zh-CN"/>
        </w:rPr>
        <w:t>院内</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的形式向社会公开征集合法经营、信誉良好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产品符合要求</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服务</w:t>
      </w:r>
      <w:r>
        <w:rPr>
          <w:rFonts w:hint="eastAsia" w:ascii="仿宋_GB2312" w:hAnsi="仿宋_GB2312" w:eastAsia="仿宋_GB2312" w:cs="仿宋_GB2312"/>
          <w:b w:val="0"/>
          <w:bCs/>
          <w:color w:val="auto"/>
          <w:sz w:val="32"/>
          <w:szCs w:val="32"/>
          <w:highlight w:val="none"/>
          <w:lang w:eastAsia="zh-CN"/>
        </w:rPr>
        <w:t>单位</w:t>
      </w:r>
      <w:r>
        <w:rPr>
          <w:rFonts w:hint="eastAsia" w:ascii="仿宋_GB2312" w:hAnsi="仿宋_GB2312" w:eastAsia="仿宋_GB2312" w:cs="仿宋_GB2312"/>
          <w:color w:val="auto"/>
          <w:sz w:val="32"/>
          <w:szCs w:val="32"/>
          <w:highlight w:val="none"/>
        </w:rPr>
        <w:t>。现就</w:t>
      </w:r>
      <w:r>
        <w:rPr>
          <w:rFonts w:hint="eastAsia" w:ascii="仿宋_GB2312" w:hAnsi="仿宋_GB2312" w:eastAsia="仿宋_GB2312" w:cs="仿宋_GB2312"/>
          <w:color w:val="auto"/>
          <w:sz w:val="32"/>
          <w:szCs w:val="32"/>
          <w:highlight w:val="none"/>
          <w:lang w:eastAsia="zh-CN"/>
        </w:rPr>
        <w:t>相</w:t>
      </w:r>
      <w:r>
        <w:rPr>
          <w:rFonts w:hint="eastAsia" w:ascii="仿宋_GB2312" w:hAnsi="仿宋_GB2312" w:eastAsia="仿宋_GB2312" w:cs="仿宋_GB2312"/>
          <w:color w:val="auto"/>
          <w:sz w:val="32"/>
          <w:szCs w:val="32"/>
          <w:highlight w:val="none"/>
        </w:rPr>
        <w:t>关事宜和要求说明如下：</w:t>
      </w:r>
    </w:p>
    <w:p w14:paraId="2DF0962F">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一、原则</w:t>
      </w:r>
    </w:p>
    <w:p w14:paraId="34F4FB9C">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rPr>
        <w:t>公平、公</w:t>
      </w:r>
      <w:r>
        <w:rPr>
          <w:rFonts w:hint="eastAsia" w:ascii="仿宋_GB2312" w:hAnsi="仿宋_GB2312" w:eastAsia="仿宋_GB2312" w:cs="仿宋_GB2312"/>
          <w:color w:val="auto"/>
          <w:sz w:val="32"/>
          <w:szCs w:val="32"/>
          <w:highlight w:val="none"/>
          <w:lang w:val="en-US" w:eastAsia="zh-CN"/>
        </w:rPr>
        <w:t>正</w:t>
      </w:r>
      <w:r>
        <w:rPr>
          <w:rFonts w:hint="eastAsia" w:ascii="仿宋_GB2312" w:hAnsi="仿宋_GB2312" w:eastAsia="仿宋_GB2312" w:cs="仿宋_GB2312"/>
          <w:color w:val="auto"/>
          <w:sz w:val="32"/>
          <w:szCs w:val="32"/>
          <w:highlight w:val="none"/>
        </w:rPr>
        <w:t>、公开、择优录用的原则。</w:t>
      </w:r>
    </w:p>
    <w:p w14:paraId="3245BEC2">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rPr>
        <w:t>实事求是原则。</w:t>
      </w:r>
    </w:p>
    <w:p w14:paraId="4BF7309D">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须知</w:t>
      </w:r>
    </w:p>
    <w:p w14:paraId="565F9660">
      <w:pPr>
        <w:ind w:firstLine="48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1.响应供应商应具备条件</w:t>
      </w:r>
      <w:r>
        <w:rPr>
          <w:rFonts w:hint="eastAsia" w:ascii="仿宋_GB2312" w:hAnsi="仿宋_GB2312" w:eastAsia="仿宋_GB2312" w:cs="仿宋_GB2312"/>
          <w:b/>
          <w:bCs/>
          <w:color w:val="auto"/>
          <w:sz w:val="32"/>
          <w:szCs w:val="32"/>
          <w:highlight w:val="none"/>
          <w:lang w:val="en-US" w:eastAsia="zh-CN"/>
        </w:rPr>
        <w:t>（资格审查性要求，未满足其中一项则被认定为无效响应。具体查看附件1-1）</w:t>
      </w:r>
    </w:p>
    <w:p w14:paraId="64DB2BBC">
      <w:pPr>
        <w:keepNext w:val="0"/>
        <w:keepLines w:val="0"/>
        <w:pageBreakBefore w:val="0"/>
        <w:widowControl w:val="0"/>
        <w:numPr>
          <w:ilvl w:val="0"/>
          <w:numId w:val="1"/>
        </w:numPr>
        <w:kinsoku/>
        <w:wordWrap/>
        <w:overflowPunct/>
        <w:topLinePunct w:val="0"/>
        <w:autoSpaceDE/>
        <w:autoSpaceDN/>
        <w:bidi w:val="0"/>
        <w:adjustRightInd w:val="0"/>
        <w:snapToGrid/>
        <w:spacing w:line="360" w:lineRule="auto"/>
        <w:ind w:left="0" w:leftChars="0" w:firstLine="640" w:firstLineChars="200"/>
        <w:textAlignment w:val="auto"/>
        <w:rPr>
          <w:rFonts w:ascii="仿宋_GB2312" w:hAnsi="仿宋_GB2312" w:eastAsia="仿宋_GB2312" w:cs="仿宋_GB2312"/>
          <w:color w:val="auto"/>
          <w:sz w:val="32"/>
          <w:szCs w:val="32"/>
          <w:highlight w:val="none"/>
        </w:rPr>
      </w:pPr>
      <w:bookmarkStart w:id="0" w:name="OLE_LINK3"/>
      <w:r>
        <w:rPr>
          <w:rFonts w:hint="eastAsia" w:ascii="仿宋_GB2312" w:hAnsi="仿宋_GB2312" w:eastAsia="仿宋_GB2312" w:cs="仿宋_GB2312"/>
          <w:color w:val="auto"/>
          <w:sz w:val="32"/>
          <w:szCs w:val="32"/>
          <w:highlight w:val="none"/>
        </w:rPr>
        <w:t>具有独立承担民事责任的能力；【提供有效的营业执照副本复印件（或其他主体资格证明等）</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个体单位提供个人身份证正反面复印件，并加盖手印印章</w:t>
      </w:r>
      <w:r>
        <w:rPr>
          <w:rFonts w:hint="eastAsia" w:ascii="仿宋_GB2312" w:hAnsi="仿宋_GB2312" w:eastAsia="仿宋_GB2312" w:cs="仿宋_GB2312"/>
          <w:color w:val="auto"/>
          <w:sz w:val="32"/>
          <w:szCs w:val="32"/>
          <w:highlight w:val="none"/>
        </w:rPr>
        <w:t>】</w:t>
      </w:r>
    </w:p>
    <w:p w14:paraId="08E7CAF6">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eastAsia" w:ascii="仿宋_GB2312" w:hAnsi="仿宋_GB2312" w:eastAsia="仿宋_GB2312" w:cs="仿宋_GB2312"/>
          <w:color w:val="auto"/>
          <w:sz w:val="32"/>
          <w:szCs w:val="32"/>
          <w:highlight w:val="none"/>
          <w:lang w:eastAsia="zh-CN"/>
        </w:rPr>
      </w:pPr>
      <w:bookmarkStart w:id="1" w:name="OLE_LINK4"/>
      <w:r>
        <w:rPr>
          <w:rFonts w:hint="eastAsia" w:ascii="仿宋_GB2312" w:hAnsi="仿宋_GB2312" w:eastAsia="仿宋_GB2312" w:cs="仿宋_GB2312"/>
          <w:color w:val="auto"/>
          <w:sz w:val="32"/>
          <w:szCs w:val="32"/>
          <w:highlight w:val="none"/>
          <w:lang w:eastAsia="zh-CN"/>
        </w:rPr>
        <w:t>具有履行合同所必需的设备和专业技术能力，且具备本项目的特定资格要求：供应商须同时具备有效期内的《人力资源服务许可证》；【提供上述资质证书复印件，并加盖供应商公章】</w:t>
      </w:r>
    </w:p>
    <w:bookmarkEnd w:id="1"/>
    <w:p w14:paraId="152029E6">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参加采购活动前3年内，在经营活动中没有重大违法记录；重大违法记录是指</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因违法经营受到刑事处罚或者责令停产停业、吊销许可证或者执照、较大数额罚款等行政处罚。</w:t>
      </w:r>
      <w:r>
        <w:rPr>
          <w:rFonts w:hint="eastAsia" w:ascii="仿宋_GB2312" w:hAnsi="仿宋_GB2312" w:eastAsia="仿宋_GB2312" w:cs="仿宋_GB2312"/>
          <w:color w:val="auto"/>
          <w:sz w:val="32"/>
          <w:szCs w:val="32"/>
          <w:highlight w:val="none"/>
          <w:lang w:val="en-US" w:eastAsia="zh-CN"/>
        </w:rPr>
        <w:t>供应商</w:t>
      </w:r>
      <w:r>
        <w:rPr>
          <w:rFonts w:hint="eastAsia" w:ascii="仿宋_GB2312" w:eastAsia="仿宋_GB2312"/>
          <w:color w:val="auto"/>
          <w:sz w:val="32"/>
          <w:szCs w:val="32"/>
          <w:highlight w:val="none"/>
        </w:rPr>
        <w:t>负责人为同一人或者存在直接控股、管理关系的不同</w:t>
      </w:r>
      <w:r>
        <w:rPr>
          <w:rFonts w:hint="eastAsia" w:ascii="仿宋_GB2312" w:hAnsi="仿宋_GB2312" w:eastAsia="仿宋_GB2312" w:cs="仿宋_GB2312"/>
          <w:color w:val="auto"/>
          <w:sz w:val="32"/>
          <w:szCs w:val="32"/>
          <w:highlight w:val="none"/>
          <w:lang w:val="en-US" w:eastAsia="zh-CN"/>
        </w:rPr>
        <w:t>供应商</w:t>
      </w:r>
      <w:r>
        <w:rPr>
          <w:rFonts w:hint="eastAsia" w:ascii="仿宋_GB2312" w:eastAsia="仿宋_GB2312"/>
          <w:color w:val="auto"/>
          <w:sz w:val="32"/>
          <w:szCs w:val="32"/>
          <w:highlight w:val="none"/>
        </w:rPr>
        <w:t>，不得同时参加本采购项目（或采购包）报价。</w:t>
      </w:r>
      <w:r>
        <w:rPr>
          <w:rFonts w:hint="eastAsia" w:ascii="仿宋_GB2312" w:hAnsi="仿宋_GB2312" w:eastAsia="仿宋_GB2312" w:cs="仿宋_GB2312"/>
          <w:color w:val="auto"/>
          <w:sz w:val="32"/>
          <w:szCs w:val="32"/>
          <w:highlight w:val="none"/>
        </w:rPr>
        <w:t>【提供《</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rPr>
        <w:t>资格声明函》，模板见附件</w:t>
      </w:r>
      <w:r>
        <w:rPr>
          <w:rFonts w:hint="eastAsia" w:ascii="仿宋_GB2312" w:hAnsi="仿宋_GB2312" w:eastAsia="仿宋_GB2312" w:cs="仿宋_GB2312"/>
          <w:color w:val="auto"/>
          <w:sz w:val="32"/>
          <w:szCs w:val="32"/>
          <w:highlight w:val="none"/>
          <w:lang w:eastAsia="zh-CN"/>
        </w:rPr>
        <w:t>】</w:t>
      </w:r>
    </w:p>
    <w:bookmarkEnd w:id="0"/>
    <w:p w14:paraId="542A3120">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w:t>
      </w:r>
      <w:r>
        <w:rPr>
          <w:rFonts w:hint="eastAsia" w:ascii="仿宋_GB2312" w:hAnsi="仿宋_GB2312" w:eastAsia="仿宋_GB2312" w:cs="仿宋_GB2312"/>
          <w:color w:val="auto"/>
          <w:sz w:val="32"/>
          <w:szCs w:val="32"/>
          <w:highlight w:val="none"/>
          <w:lang w:eastAsia="zh-CN"/>
        </w:rPr>
        <w:t>无重大漏项或重大不合理</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报价采用折扣率形式0%-100%（如八折，填写 80%），实际结算价计算公式：预算单价×成交折扣率，金额保留两位小数。</w:t>
      </w:r>
    </w:p>
    <w:p w14:paraId="5AAD328E">
      <w:pPr>
        <w:keepNext w:val="0"/>
        <w:keepLines w:val="0"/>
        <w:pageBreakBefore w:val="0"/>
        <w:widowControl w:val="0"/>
        <w:numPr>
          <w:ilvl w:val="0"/>
          <w:numId w:val="1"/>
        </w:numPr>
        <w:kinsoku/>
        <w:wordWrap/>
        <w:overflowPunct/>
        <w:topLinePunct w:val="0"/>
        <w:autoSpaceDE/>
        <w:autoSpaceDN/>
        <w:bidi w:val="0"/>
        <w:adjustRightInd w:val="0"/>
        <w:snapToGrid/>
        <w:spacing w:line="348" w:lineRule="auto"/>
        <w:ind w:left="0" w:leftChars="0" w:right="0"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lang w:eastAsia="zh-CN"/>
        </w:rPr>
        <w:t>满足项目采购需求</w:t>
      </w:r>
      <w:r>
        <w:rPr>
          <w:rFonts w:hint="eastAsia" w:ascii="仿宋_GB2312" w:eastAsia="仿宋_GB2312"/>
          <w:b w:val="0"/>
          <w:bCs w:val="0"/>
          <w:color w:val="auto"/>
          <w:sz w:val="32"/>
          <w:szCs w:val="32"/>
          <w:highlight w:val="none"/>
          <w:lang w:val="en-US" w:eastAsia="zh-CN"/>
        </w:rPr>
        <w:t>【</w:t>
      </w:r>
      <w:r>
        <w:rPr>
          <w:rFonts w:hint="eastAsia" w:ascii="仿宋_GB2312" w:hAnsi="仿宋_GB2312" w:eastAsia="仿宋_GB2312" w:cs="仿宋_GB2312"/>
          <w:b/>
          <w:bCs/>
          <w:color w:val="auto"/>
          <w:sz w:val="32"/>
          <w:szCs w:val="32"/>
          <w:highlight w:val="none"/>
          <w:lang w:eastAsia="zh-CN"/>
        </w:rPr>
        <w:t>提供</w:t>
      </w:r>
      <w:r>
        <w:rPr>
          <w:rFonts w:hint="eastAsia" w:ascii="仿宋_GB2312" w:hAnsi="仿宋_GB2312" w:eastAsia="仿宋_GB2312" w:cs="仿宋_GB2312"/>
          <w:b/>
          <w:bCs/>
          <w:color w:val="auto"/>
          <w:sz w:val="32"/>
          <w:szCs w:val="32"/>
          <w:highlight w:val="none"/>
          <w:lang w:val="en-US" w:eastAsia="zh-CN"/>
        </w:rPr>
        <w:t>具体的</w:t>
      </w:r>
      <w:r>
        <w:rPr>
          <w:rFonts w:hint="eastAsia" w:ascii="仿宋_GB2312" w:hAnsi="仿宋_GB2312" w:eastAsia="仿宋_GB2312" w:cs="仿宋_GB2312"/>
          <w:b/>
          <w:bCs/>
          <w:color w:val="auto"/>
          <w:sz w:val="32"/>
          <w:szCs w:val="32"/>
          <w:highlight w:val="none"/>
          <w:lang w:eastAsia="zh-CN"/>
        </w:rPr>
        <w:t>服务方案。</w:t>
      </w:r>
      <w:r>
        <w:rPr>
          <w:rFonts w:hint="eastAsia" w:ascii="仿宋_GB2312" w:hAnsi="仿宋_GB2312" w:eastAsia="仿宋_GB2312" w:cs="仿宋_GB2312"/>
          <w:b w:val="0"/>
          <w:bCs w:val="0"/>
          <w:color w:val="auto"/>
          <w:sz w:val="32"/>
          <w:szCs w:val="32"/>
          <w:highlight w:val="none"/>
          <w:lang w:eastAsia="zh-CN"/>
        </w:rPr>
        <w:t>包含但不限于</w:t>
      </w:r>
      <w:r>
        <w:rPr>
          <w:rFonts w:hint="eastAsia" w:ascii="仿宋_GB2312" w:eastAsia="仿宋_GB2312"/>
          <w:b w:val="0"/>
          <w:bCs w:val="0"/>
          <w:color w:val="auto"/>
          <w:sz w:val="32"/>
          <w:szCs w:val="32"/>
          <w:highlight w:val="none"/>
          <w:lang w:val="en-US" w:eastAsia="zh-CN"/>
        </w:rPr>
        <w:t>“</w:t>
      </w:r>
      <w:r>
        <w:rPr>
          <w:rFonts w:hint="eastAsia" w:ascii="仿宋_GB2312" w:eastAsia="仿宋_GB2312"/>
          <w:b w:val="0"/>
          <w:bCs w:val="0"/>
          <w:color w:val="auto"/>
          <w:sz w:val="32"/>
          <w:szCs w:val="32"/>
          <w:highlight w:val="none"/>
        </w:rPr>
        <w:t>附件2</w:t>
      </w:r>
      <w:r>
        <w:rPr>
          <w:rFonts w:hint="eastAsia" w:ascii="仿宋_GB2312" w:eastAsia="仿宋_GB2312"/>
          <w:b w:val="0"/>
          <w:bCs w:val="0"/>
          <w:color w:val="auto"/>
          <w:sz w:val="32"/>
          <w:szCs w:val="32"/>
          <w:highlight w:val="none"/>
          <w:lang w:eastAsia="zh-CN"/>
        </w:rPr>
        <w:t>－</w:t>
      </w:r>
      <w:r>
        <w:rPr>
          <w:rFonts w:hint="eastAsia" w:ascii="仿宋_GB2312" w:eastAsia="仿宋_GB2312"/>
          <w:b w:val="0"/>
          <w:bCs w:val="0"/>
          <w:color w:val="auto"/>
          <w:sz w:val="32"/>
          <w:szCs w:val="32"/>
          <w:highlight w:val="none"/>
          <w:lang w:val="en-US" w:eastAsia="zh-CN"/>
        </w:rPr>
        <w:t>采购需求”，</w:t>
      </w:r>
      <w:r>
        <w:rPr>
          <w:rFonts w:hint="eastAsia" w:ascii="仿宋_GB2312" w:eastAsia="仿宋_GB2312"/>
          <w:b/>
          <w:bCs/>
          <w:color w:val="auto"/>
          <w:sz w:val="32"/>
          <w:szCs w:val="32"/>
          <w:highlight w:val="none"/>
          <w:lang w:val="en-US" w:eastAsia="zh-CN"/>
        </w:rPr>
        <w:t>分点列举</w:t>
      </w:r>
      <w:r>
        <w:rPr>
          <w:rFonts w:hint="eastAsia" w:ascii="仿宋_GB2312" w:hAnsi="仿宋_GB2312" w:eastAsia="仿宋_GB2312" w:cs="仿宋_GB2312"/>
          <w:b/>
          <w:bCs/>
          <w:color w:val="auto"/>
          <w:sz w:val="32"/>
          <w:szCs w:val="32"/>
          <w:highlight w:val="none"/>
          <w:lang w:eastAsia="zh-CN"/>
        </w:rPr>
        <w:t>服务</w:t>
      </w:r>
      <w:r>
        <w:rPr>
          <w:rFonts w:hint="eastAsia" w:ascii="仿宋_GB2312" w:hAnsi="仿宋_GB2312" w:eastAsia="仿宋_GB2312" w:cs="仿宋_GB2312"/>
          <w:b/>
          <w:bCs/>
          <w:color w:val="auto"/>
          <w:sz w:val="32"/>
          <w:szCs w:val="32"/>
          <w:highlight w:val="none"/>
          <w:lang w:val="en-US" w:eastAsia="zh-CN"/>
        </w:rPr>
        <w:t>内容</w:t>
      </w:r>
      <w:r>
        <w:rPr>
          <w:rFonts w:hint="eastAsia" w:ascii="仿宋_GB2312" w:eastAsia="仿宋_GB2312"/>
          <w:b/>
          <w:bCs/>
          <w:color w:val="auto"/>
          <w:sz w:val="32"/>
          <w:szCs w:val="32"/>
          <w:highlight w:val="none"/>
          <w:lang w:val="en-US" w:eastAsia="zh-CN"/>
        </w:rPr>
        <w:t>明细</w:t>
      </w:r>
      <w:r>
        <w:rPr>
          <w:rFonts w:hint="eastAsia" w:ascii="仿宋_GB2312" w:eastAsia="仿宋_GB2312"/>
          <w:b w:val="0"/>
          <w:bCs w:val="0"/>
          <w:color w:val="auto"/>
          <w:sz w:val="32"/>
          <w:szCs w:val="32"/>
          <w:highlight w:val="none"/>
          <w:lang w:val="en-US" w:eastAsia="zh-CN"/>
        </w:rPr>
        <w:t>】</w:t>
      </w:r>
    </w:p>
    <w:p w14:paraId="133C6537">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2.响应文件要求</w:t>
      </w:r>
      <w:r>
        <w:rPr>
          <w:rFonts w:hint="eastAsia" w:ascii="仿宋_GB2312" w:hAnsi="仿宋_GB2312" w:eastAsia="仿宋_GB2312" w:cs="仿宋_GB2312"/>
          <w:color w:val="auto"/>
          <w:sz w:val="32"/>
          <w:szCs w:val="32"/>
          <w:highlight w:val="none"/>
        </w:rPr>
        <w:t>：</w:t>
      </w:r>
    </w:p>
    <w:p w14:paraId="67BA2981">
      <w:pPr>
        <w:adjustRightInd w:val="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响应文件</w:t>
      </w:r>
      <w:r>
        <w:rPr>
          <w:rFonts w:hint="eastAsia" w:ascii="仿宋_GB2312" w:hAnsi="仿宋_GB2312" w:eastAsia="仿宋_GB2312" w:cs="仿宋_GB2312"/>
          <w:color w:val="auto"/>
          <w:sz w:val="32"/>
          <w:szCs w:val="32"/>
          <w:highlight w:val="none"/>
        </w:rPr>
        <w:t>分别装订（</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份正本、</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份副本，共</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份），上述资料均需加盖单位公章；除报名表外其他所有资料须按顺序整理并用文件袋装订好，将报名表直接粘贴在文件袋的正面，在封口处加盖单位公章。</w:t>
      </w:r>
    </w:p>
    <w:p w14:paraId="787BC025">
      <w:pPr>
        <w:adjustRightInd w:val="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val="en-US" w:eastAsia="zh-CN"/>
        </w:rPr>
        <w:t>响应文件</w:t>
      </w:r>
      <w:r>
        <w:rPr>
          <w:rFonts w:hint="eastAsia" w:ascii="仿宋_GB2312" w:hAnsi="仿宋_GB2312" w:eastAsia="仿宋_GB2312" w:cs="仿宋_GB2312"/>
          <w:color w:val="auto"/>
          <w:sz w:val="32"/>
          <w:szCs w:val="32"/>
          <w:highlight w:val="none"/>
        </w:rPr>
        <w:t>必须在规定的时间内送达指定地点，送达后不得撤回或修改。</w:t>
      </w:r>
    </w:p>
    <w:p w14:paraId="2786A6A1">
      <w:pPr>
        <w:keepNext w:val="0"/>
        <w:keepLines w:val="0"/>
        <w:pageBreakBefore w:val="0"/>
        <w:widowControl w:val="0"/>
        <w:kinsoku/>
        <w:wordWrap/>
        <w:overflowPunct/>
        <w:topLinePunct w:val="0"/>
        <w:autoSpaceDE/>
        <w:autoSpaceDN/>
        <w:bidi w:val="0"/>
        <w:adjustRightInd w:val="0"/>
        <w:snapToGrid/>
        <w:spacing w:line="348" w:lineRule="auto"/>
        <w:ind w:firstLine="640" w:firstLineChars="200"/>
        <w:jc w:val="left"/>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原则</w:t>
      </w:r>
    </w:p>
    <w:p w14:paraId="76763D76">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1.资格性审查：比选人按《资格性评审表》（附表1-1）的内容对响应供应商进行资格审查。通过审查响应供应商不足3家的，比选失败。未通过资格审查的供应商不进入综合得分阶段的评审。</w:t>
      </w:r>
    </w:p>
    <w:p w14:paraId="620E5EAA">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2.综合得分评审：综合得分=商务得分+报价得分。</w:t>
      </w:r>
    </w:p>
    <w:tbl>
      <w:tblPr>
        <w:tblStyle w:val="9"/>
        <w:tblW w:w="5062" w:type="pct"/>
        <w:tblInd w:w="-10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677"/>
        <w:gridCol w:w="1983"/>
        <w:gridCol w:w="1984"/>
        <w:gridCol w:w="1984"/>
      </w:tblGrid>
      <w:tr w14:paraId="7E6851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1" w:hRule="atLeast"/>
        </w:trPr>
        <w:tc>
          <w:tcPr>
            <w:tcW w:w="1551" w:type="pct"/>
            <w:vAlign w:val="center"/>
          </w:tcPr>
          <w:p w14:paraId="78567D62">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评分项目</w:t>
            </w:r>
          </w:p>
          <w:p w14:paraId="2C1E2708">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具体查看附件1-2</w:t>
            </w:r>
            <w:r>
              <w:rPr>
                <w:rFonts w:hint="eastAsia" w:ascii="仿宋_GB2312" w:hAnsi="仿宋_GB2312" w:eastAsia="仿宋_GB2312" w:cs="仿宋_GB2312"/>
                <w:color w:val="auto"/>
                <w:sz w:val="24"/>
                <w:szCs w:val="24"/>
                <w:highlight w:val="none"/>
                <w:lang w:eastAsia="zh-CN"/>
              </w:rPr>
              <w:t>）</w:t>
            </w:r>
          </w:p>
        </w:tc>
        <w:tc>
          <w:tcPr>
            <w:tcW w:w="1149" w:type="pct"/>
            <w:vAlign w:val="center"/>
          </w:tcPr>
          <w:p w14:paraId="27189A46">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商务</w:t>
            </w:r>
            <w:r>
              <w:rPr>
                <w:rFonts w:hint="eastAsia" w:ascii="仿宋_GB2312" w:hAnsi="仿宋_GB2312" w:eastAsia="仿宋_GB2312" w:cs="仿宋_GB2312"/>
                <w:color w:val="auto"/>
                <w:sz w:val="32"/>
                <w:szCs w:val="32"/>
                <w:highlight w:val="none"/>
                <w:lang w:eastAsia="zh-CN"/>
              </w:rPr>
              <w:t>部分</w:t>
            </w:r>
          </w:p>
        </w:tc>
        <w:tc>
          <w:tcPr>
            <w:tcW w:w="1149" w:type="pct"/>
            <w:vAlign w:val="center"/>
          </w:tcPr>
          <w:p w14:paraId="2D384618">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技术部分</w:t>
            </w:r>
          </w:p>
        </w:tc>
        <w:tc>
          <w:tcPr>
            <w:tcW w:w="1149" w:type="pct"/>
            <w:vAlign w:val="center"/>
          </w:tcPr>
          <w:p w14:paraId="48D69D90">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价格部分</w:t>
            </w:r>
          </w:p>
        </w:tc>
      </w:tr>
      <w:tr w14:paraId="505999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01" w:hRule="atLeast"/>
        </w:trPr>
        <w:tc>
          <w:tcPr>
            <w:tcW w:w="1551" w:type="pct"/>
            <w:vAlign w:val="center"/>
          </w:tcPr>
          <w:p w14:paraId="54122484">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分值</w:t>
            </w:r>
          </w:p>
        </w:tc>
        <w:tc>
          <w:tcPr>
            <w:tcW w:w="1149" w:type="pct"/>
            <w:vAlign w:val="center"/>
          </w:tcPr>
          <w:p w14:paraId="42AE80CC">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lang w:eastAsia="zh-CN"/>
              </w:rPr>
              <w:t>分</w:t>
            </w:r>
          </w:p>
        </w:tc>
        <w:tc>
          <w:tcPr>
            <w:tcW w:w="1149" w:type="pct"/>
            <w:vAlign w:val="center"/>
          </w:tcPr>
          <w:p w14:paraId="608742D3">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55分</w:t>
            </w:r>
          </w:p>
        </w:tc>
        <w:tc>
          <w:tcPr>
            <w:tcW w:w="1149" w:type="pct"/>
            <w:vAlign w:val="center"/>
          </w:tcPr>
          <w:p w14:paraId="2ACD0584">
            <w:pPr>
              <w:keepNext w:val="0"/>
              <w:keepLines w:val="0"/>
              <w:pageBreakBefore w:val="0"/>
              <w:widowControl w:val="0"/>
              <w:kinsoku/>
              <w:wordWrap/>
              <w:overflowPunct/>
              <w:topLinePunct w:val="0"/>
              <w:autoSpaceDE/>
              <w:autoSpaceDN/>
              <w:bidi w:val="0"/>
              <w:adjustRightInd w:val="0"/>
              <w:snapToGrid/>
              <w:spacing w:line="360" w:lineRule="auto"/>
              <w:ind w:right="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30分</w:t>
            </w:r>
          </w:p>
        </w:tc>
      </w:tr>
    </w:tbl>
    <w:p w14:paraId="2DA8CA04">
      <w:pPr>
        <w:pStyle w:val="2"/>
        <w:rPr>
          <w:rFonts w:hint="eastAsia"/>
          <w:color w:val="auto"/>
          <w:highlight w:val="none"/>
          <w:lang w:val="en-US" w:eastAsia="zh-CN"/>
        </w:rPr>
      </w:pPr>
    </w:p>
    <w:p w14:paraId="5700A29C">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（1）各评委评出各供应商商务评分，对各评委评分的算术平均值即为该供应商的商务评分。</w:t>
      </w:r>
    </w:p>
    <w:p w14:paraId="6C0D6568">
      <w:pPr>
        <w:spacing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（2）评出价格评分，商务评分和价格评分相加得出综合得分。并按综合得分从高到低依次排名（出现并列得分时，价格低者优先）。</w:t>
      </w:r>
    </w:p>
    <w:p w14:paraId="133644BB">
      <w:pPr>
        <w:spacing w:line="360" w:lineRule="auto"/>
        <w:ind w:firstLine="640" w:firstLineChars="200"/>
        <w:jc w:val="both"/>
        <w:rPr>
          <w:rFonts w:hint="eastAsia"/>
          <w:color w:val="auto"/>
          <w:highlight w:val="none"/>
        </w:rPr>
      </w:pPr>
      <w:r>
        <w:rPr>
          <w:rFonts w:hint="eastAsia" w:ascii="仿宋_GB2312" w:hAnsi="仿宋_GB2312" w:eastAsia="仿宋_GB2312" w:cs="仿宋_GB2312"/>
          <w:color w:val="auto"/>
          <w:sz w:val="32"/>
          <w:szCs w:val="32"/>
          <w:highlight w:val="none"/>
          <w:lang w:val="en-US" w:eastAsia="zh-CN"/>
        </w:rPr>
        <w:t>（3）依据综合得分的次序推荐中选候选人。</w:t>
      </w:r>
    </w:p>
    <w:p w14:paraId="25BE528C">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四、</w:t>
      </w:r>
      <w:r>
        <w:rPr>
          <w:rFonts w:hint="eastAsia" w:ascii="仿宋_GB2312" w:hAnsi="仿宋_GB2312" w:eastAsia="仿宋_GB2312" w:cs="仿宋_GB2312"/>
          <w:color w:val="auto"/>
          <w:sz w:val="32"/>
          <w:szCs w:val="32"/>
          <w:highlight w:val="none"/>
          <w:lang w:val="en-US" w:eastAsia="zh-CN"/>
        </w:rPr>
        <w:t>比选失败</w:t>
      </w:r>
    </w:p>
    <w:p w14:paraId="4AAEF8C6">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在比选中，出现下列情形之一的，应予比选失败。</w:t>
      </w:r>
    </w:p>
    <w:p w14:paraId="79822D0E">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（一）通过初步审查的供应商或者对响应文件作实质响应的供应商不足三家的；</w:t>
      </w:r>
    </w:p>
    <w:p w14:paraId="3988A5EB">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（二）出现影响比选公正的违法、违规行为的；</w:t>
      </w:r>
    </w:p>
    <w:p w14:paraId="4498FBE5">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）因重大变故，比选任务取消的。</w:t>
      </w:r>
    </w:p>
    <w:p w14:paraId="17A5B6C3">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五</w:t>
      </w:r>
      <w:r>
        <w:rPr>
          <w:rFonts w:hint="eastAsia" w:ascii="仿宋_GB2312" w:hAnsi="仿宋_GB2312" w:eastAsia="仿宋_GB2312" w:cs="仿宋_GB2312"/>
          <w:color w:val="auto"/>
          <w:sz w:val="32"/>
          <w:szCs w:val="32"/>
          <w:highlight w:val="none"/>
        </w:rPr>
        <w:t>、中</w:t>
      </w:r>
      <w:r>
        <w:rPr>
          <w:rFonts w:hint="eastAsia" w:ascii="仿宋_GB2312" w:hAnsi="仿宋_GB2312" w:eastAsia="仿宋_GB2312" w:cs="仿宋_GB2312"/>
          <w:color w:val="auto"/>
          <w:sz w:val="32"/>
          <w:szCs w:val="32"/>
          <w:highlight w:val="none"/>
          <w:lang w:val="en-US" w:eastAsia="zh-CN"/>
        </w:rPr>
        <w:t>选</w:t>
      </w:r>
      <w:r>
        <w:rPr>
          <w:rFonts w:hint="eastAsia" w:ascii="仿宋_GB2312" w:hAnsi="仿宋_GB2312" w:eastAsia="仿宋_GB2312" w:cs="仿宋_GB2312"/>
          <w:color w:val="auto"/>
          <w:sz w:val="32"/>
          <w:szCs w:val="32"/>
          <w:highlight w:val="none"/>
        </w:rPr>
        <w:t>通知</w:t>
      </w:r>
    </w:p>
    <w:p w14:paraId="7DB94B8F">
      <w:pPr>
        <w:keepNext w:val="0"/>
        <w:keepLines w:val="0"/>
        <w:pageBreakBefore w:val="0"/>
        <w:widowControl w:val="0"/>
        <w:kinsoku/>
        <w:wordWrap/>
        <w:overflowPunct/>
        <w:topLinePunct w:val="0"/>
        <w:autoSpaceDE/>
        <w:autoSpaceDN/>
        <w:bidi w:val="0"/>
        <w:adjustRightInd w:val="0"/>
        <w:snapToGrid/>
        <w:spacing w:line="360" w:lineRule="auto"/>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经</w:t>
      </w:r>
      <w:r>
        <w:rPr>
          <w:rFonts w:hint="eastAsia" w:ascii="仿宋_GB2312" w:hAnsi="仿宋_GB2312" w:eastAsia="仿宋_GB2312" w:cs="仿宋_GB2312"/>
          <w:color w:val="auto"/>
          <w:sz w:val="32"/>
          <w:szCs w:val="32"/>
          <w:highlight w:val="none"/>
          <w:lang w:val="en-US" w:eastAsia="zh-CN"/>
        </w:rPr>
        <w:t>评选</w:t>
      </w:r>
      <w:r>
        <w:rPr>
          <w:rFonts w:hint="eastAsia" w:ascii="仿宋_GB2312" w:hAnsi="仿宋_GB2312" w:eastAsia="仿宋_GB2312" w:cs="仿宋_GB2312"/>
          <w:color w:val="auto"/>
          <w:sz w:val="32"/>
          <w:szCs w:val="32"/>
          <w:highlight w:val="none"/>
        </w:rPr>
        <w:t>小组成员审查、论证后，将在</w:t>
      </w:r>
      <w:r>
        <w:rPr>
          <w:rFonts w:hint="eastAsia" w:ascii="仿宋_GB2312" w:hAnsi="仿宋_GB2312" w:eastAsia="仿宋_GB2312" w:cs="仿宋_GB2312"/>
          <w:color w:val="auto"/>
          <w:sz w:val="32"/>
          <w:szCs w:val="32"/>
          <w:highlight w:val="none"/>
          <w:lang w:val="en-US" w:eastAsia="zh-CN"/>
        </w:rPr>
        <w:t>评选</w:t>
      </w:r>
      <w:r>
        <w:rPr>
          <w:rFonts w:hint="eastAsia" w:ascii="仿宋_GB2312" w:hAnsi="仿宋_GB2312" w:eastAsia="仿宋_GB2312" w:cs="仿宋_GB2312"/>
          <w:color w:val="auto"/>
          <w:sz w:val="32"/>
          <w:szCs w:val="32"/>
          <w:highlight w:val="none"/>
        </w:rPr>
        <w:t>后</w:t>
      </w:r>
      <w:r>
        <w:rPr>
          <w:rFonts w:hint="eastAsia" w:ascii="仿宋_GB2312" w:hAnsi="仿宋_GB2312" w:eastAsia="仿宋_GB2312" w:cs="仿宋_GB2312"/>
          <w:color w:val="auto"/>
          <w:sz w:val="32"/>
          <w:szCs w:val="32"/>
          <w:highlight w:val="none"/>
          <w:lang w:val="en-US" w:eastAsia="zh-CN"/>
        </w:rPr>
        <w:t>三个工作日</w:t>
      </w:r>
      <w:r>
        <w:rPr>
          <w:rFonts w:hint="eastAsia" w:ascii="仿宋_GB2312" w:hAnsi="仿宋_GB2312" w:eastAsia="仿宋_GB2312" w:cs="仿宋_GB2312"/>
          <w:color w:val="auto"/>
          <w:sz w:val="32"/>
          <w:szCs w:val="32"/>
          <w:highlight w:val="none"/>
        </w:rPr>
        <w:t>内通知</w:t>
      </w:r>
      <w:r>
        <w:rPr>
          <w:rFonts w:hint="eastAsia" w:ascii="仿宋_GB2312" w:hAnsi="仿宋_GB2312" w:eastAsia="仿宋_GB2312" w:cs="仿宋_GB2312"/>
          <w:color w:val="auto"/>
          <w:sz w:val="32"/>
          <w:szCs w:val="32"/>
          <w:highlight w:val="none"/>
          <w:lang w:val="en-US" w:eastAsia="zh-CN"/>
        </w:rPr>
        <w:t>中选人</w:t>
      </w:r>
      <w:r>
        <w:rPr>
          <w:rFonts w:hint="eastAsia" w:ascii="仿宋_GB2312" w:hAnsi="仿宋_GB2312" w:eastAsia="仿宋_GB2312" w:cs="仿宋_GB2312"/>
          <w:color w:val="auto"/>
          <w:sz w:val="32"/>
          <w:szCs w:val="32"/>
          <w:highlight w:val="none"/>
        </w:rPr>
        <w:t>进行确定，合同</w:t>
      </w:r>
      <w:r>
        <w:rPr>
          <w:rFonts w:hint="eastAsia" w:ascii="仿宋_GB2312" w:hAnsi="仿宋_GB2312" w:eastAsia="仿宋_GB2312" w:cs="仿宋_GB2312"/>
          <w:color w:val="auto"/>
          <w:sz w:val="32"/>
          <w:szCs w:val="32"/>
          <w:highlight w:val="none"/>
          <w:lang w:val="en-US" w:eastAsia="zh-CN"/>
        </w:rPr>
        <w:t>签订</w:t>
      </w:r>
      <w:r>
        <w:rPr>
          <w:rFonts w:hint="eastAsia" w:ascii="仿宋_GB2312" w:hAnsi="仿宋_GB2312" w:eastAsia="仿宋_GB2312" w:cs="仿宋_GB2312"/>
          <w:color w:val="auto"/>
          <w:sz w:val="32"/>
          <w:szCs w:val="32"/>
          <w:highlight w:val="none"/>
        </w:rPr>
        <w:t>时间另议。</w:t>
      </w:r>
    </w:p>
    <w:p w14:paraId="692A6F3F">
      <w:pPr>
        <w:spacing w:line="360" w:lineRule="auto"/>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附表：1、资格性评审表</w:t>
      </w:r>
    </w:p>
    <w:p w14:paraId="73E5206F">
      <w:pPr>
        <w:spacing w:line="360" w:lineRule="auto"/>
        <w:rPr>
          <w:rFonts w:hint="eastAsia" w:ascii="仿宋_GB2312" w:hAnsi="仿宋_GB2312" w:eastAsia="仿宋_GB2312" w:cs="仿宋_GB2312"/>
          <w:color w:val="auto"/>
          <w:sz w:val="32"/>
          <w:szCs w:val="32"/>
          <w:highlight w:val="none"/>
          <w:lang w:val="en-US" w:eastAsia="zh-CN"/>
        </w:rPr>
        <w:sectPr>
          <w:footerReference r:id="rId3" w:type="default"/>
          <w:pgSz w:w="11906" w:h="16838"/>
          <w:pgMar w:top="1327" w:right="1800" w:bottom="1327" w:left="1800" w:header="851" w:footer="992" w:gutter="0"/>
          <w:cols w:space="425" w:num="1"/>
          <w:docGrid w:type="lines" w:linePitch="312" w:charSpace="0"/>
        </w:sectPr>
      </w:pPr>
      <w:r>
        <w:rPr>
          <w:rFonts w:hint="eastAsia" w:ascii="仿宋_GB2312" w:hAnsi="仿宋_GB2312" w:eastAsia="仿宋_GB2312" w:cs="仿宋_GB2312"/>
          <w:color w:val="auto"/>
          <w:sz w:val="32"/>
          <w:szCs w:val="32"/>
          <w:highlight w:val="none"/>
          <w:lang w:val="en-US" w:eastAsia="zh-CN"/>
        </w:rPr>
        <w:t xml:space="preserve">          2、评审标准表</w:t>
      </w:r>
      <w:r>
        <w:rPr>
          <w:rFonts w:hint="eastAsia" w:ascii="仿宋_GB2312" w:hAnsi="仿宋_GB2312" w:eastAsia="仿宋_GB2312" w:cs="仿宋_GB2312"/>
          <w:color w:val="auto"/>
          <w:sz w:val="32"/>
          <w:szCs w:val="32"/>
          <w:highlight w:val="none"/>
          <w:lang w:val="en-US" w:eastAsia="zh-CN"/>
        </w:rPr>
        <w:br w:type="page"/>
      </w:r>
    </w:p>
    <w:p w14:paraId="6436EE1C">
      <w:pPr>
        <w:pStyle w:val="2"/>
        <w:keepNext w:val="0"/>
        <w:keepLines w:val="0"/>
        <w:pageBreakBefore w:val="0"/>
        <w:widowControl w:val="0"/>
        <w:kinsoku/>
        <w:wordWrap/>
        <w:overflowPunct/>
        <w:topLinePunct w:val="0"/>
        <w:autoSpaceDE/>
        <w:autoSpaceDN/>
        <w:bidi w:val="0"/>
        <w:snapToGrid/>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附表1-1：</w:t>
      </w:r>
    </w:p>
    <w:p w14:paraId="6CF65B99">
      <w:pPr>
        <w:pStyle w:val="2"/>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资格性评审表</w:t>
      </w:r>
    </w:p>
    <w:p w14:paraId="5B0AF741">
      <w:pPr>
        <w:pStyle w:val="2"/>
        <w:keepNext w:val="0"/>
        <w:keepLines w:val="0"/>
        <w:pageBreakBefore w:val="0"/>
        <w:widowControl w:val="0"/>
        <w:kinsoku/>
        <w:wordWrap/>
        <w:overflowPunct/>
        <w:topLinePunct w:val="0"/>
        <w:autoSpaceDE/>
        <w:autoSpaceDN/>
        <w:bidi w:val="0"/>
        <w:snapToGrid/>
        <w:spacing w:line="360" w:lineRule="auto"/>
        <w:textAlignment w:val="auto"/>
        <w:rPr>
          <w:rFonts w:hint="eastAsia"/>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项目名称：中山市南朗医院2026年-2028年事业单位公开招聘考试服务项目</w:t>
      </w:r>
    </w:p>
    <w:tbl>
      <w:tblPr>
        <w:tblStyle w:val="8"/>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3225"/>
        <w:gridCol w:w="2490"/>
        <w:gridCol w:w="2025"/>
        <w:gridCol w:w="1995"/>
        <w:gridCol w:w="1905"/>
        <w:gridCol w:w="1589"/>
      </w:tblGrid>
      <w:tr w14:paraId="0BF5E20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351" w:hRule="atLeast"/>
          <w:jc w:val="center"/>
        </w:trPr>
        <w:tc>
          <w:tcPr>
            <w:tcW w:w="945" w:type="dxa"/>
            <w:shd w:val="clear" w:color="auto" w:fill="D7D7D7"/>
            <w:noWrap w:val="0"/>
            <w:vAlign w:val="center"/>
          </w:tcPr>
          <w:p w14:paraId="4EC844FF">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序号</w:t>
            </w:r>
          </w:p>
        </w:tc>
        <w:tc>
          <w:tcPr>
            <w:tcW w:w="3225" w:type="dxa"/>
            <w:shd w:val="clear" w:color="auto" w:fill="D7D7D7"/>
            <w:noWrap w:val="0"/>
            <w:vAlign w:val="center"/>
          </w:tcPr>
          <w:p w14:paraId="0731E95B">
            <w:pPr>
              <w:keepNext w:val="0"/>
              <w:keepLines w:val="0"/>
              <w:pageBreakBefore w:val="0"/>
              <w:widowControl w:val="0"/>
              <w:kinsoku/>
              <w:wordWrap/>
              <w:overflowPunct/>
              <w:topLinePunct w:val="0"/>
              <w:autoSpaceDE/>
              <w:autoSpaceDN/>
              <w:bidi w:val="0"/>
              <w:snapToGrid/>
              <w:jc w:val="center"/>
              <w:textAlignment w:val="auto"/>
              <w:rPr>
                <w:rFonts w:hint="default" w:ascii="宋体" w:hAnsi="宋体" w:cs="宋体" w:eastAsiaTheme="minorEastAsia"/>
                <w:b w:val="0"/>
                <w:bCs/>
                <w:color w:val="auto"/>
                <w:kern w:val="2"/>
                <w:sz w:val="21"/>
                <w:szCs w:val="21"/>
                <w:highlight w:val="none"/>
                <w:lang w:val="en-US" w:eastAsia="zh-CN" w:bidi="ar-SA"/>
              </w:rPr>
            </w:pPr>
            <w:r>
              <w:rPr>
                <w:rFonts w:hint="eastAsia" w:ascii="宋体" w:hAnsi="宋体" w:cs="宋体"/>
                <w:b w:val="0"/>
                <w:bCs/>
                <w:color w:val="auto"/>
                <w:kern w:val="2"/>
                <w:sz w:val="21"/>
                <w:szCs w:val="21"/>
                <w:highlight w:val="none"/>
                <w:lang w:val="en-US" w:eastAsia="zh-CN" w:bidi="ar-SA"/>
              </w:rPr>
              <w:t>响应供应商</w:t>
            </w:r>
          </w:p>
        </w:tc>
        <w:tc>
          <w:tcPr>
            <w:tcW w:w="2490" w:type="dxa"/>
            <w:shd w:val="clear" w:color="auto" w:fill="D7D7D7"/>
            <w:noWrap w:val="0"/>
            <w:vAlign w:val="center"/>
          </w:tcPr>
          <w:p w14:paraId="1E6ABA33">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提供有效的营业执照副本复印件（或其他主体资格证明等）</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并加盖供应商公章</w:t>
            </w:r>
          </w:p>
        </w:tc>
        <w:tc>
          <w:tcPr>
            <w:tcW w:w="2025" w:type="dxa"/>
            <w:shd w:val="clear" w:color="auto" w:fill="D7D7D7"/>
            <w:noWrap w:val="0"/>
            <w:vAlign w:val="center"/>
          </w:tcPr>
          <w:p w14:paraId="1A7451D0">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val="en-US" w:eastAsia="zh-CN"/>
              </w:rPr>
              <w:t>提供有效期内的《人力资源服务许可证》，并加盖供应商公章</w:t>
            </w:r>
          </w:p>
        </w:tc>
        <w:tc>
          <w:tcPr>
            <w:tcW w:w="1995" w:type="dxa"/>
            <w:shd w:val="clear" w:color="auto" w:fill="D7D7D7"/>
            <w:noWrap w:val="0"/>
            <w:vAlign w:val="center"/>
          </w:tcPr>
          <w:p w14:paraId="710F0C16">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lang w:val="en-US" w:eastAsia="zh-CN"/>
              </w:rPr>
              <w:t>提供《资格声明函》</w:t>
            </w:r>
          </w:p>
        </w:tc>
        <w:tc>
          <w:tcPr>
            <w:tcW w:w="1905" w:type="dxa"/>
            <w:shd w:val="clear" w:color="auto" w:fill="D7D7D7"/>
            <w:noWrap w:val="0"/>
            <w:vAlign w:val="center"/>
          </w:tcPr>
          <w:p w14:paraId="2FEA6A04">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b w:val="0"/>
                <w:bCs/>
                <w:color w:val="auto"/>
                <w:sz w:val="21"/>
                <w:szCs w:val="21"/>
                <w:highlight w:val="none"/>
              </w:rPr>
            </w:pPr>
            <w:r>
              <w:rPr>
                <w:rFonts w:hint="eastAsia" w:ascii="宋体" w:hAnsi="宋体" w:cs="宋体"/>
                <w:b w:val="0"/>
                <w:bCs/>
                <w:color w:val="auto"/>
                <w:sz w:val="21"/>
                <w:szCs w:val="21"/>
                <w:highlight w:val="none"/>
              </w:rPr>
              <w:t>报价无重大漏项或重大不合理</w:t>
            </w:r>
          </w:p>
        </w:tc>
        <w:tc>
          <w:tcPr>
            <w:tcW w:w="1589" w:type="dxa"/>
            <w:shd w:val="clear" w:color="auto" w:fill="D7D7D7"/>
            <w:noWrap w:val="0"/>
            <w:vAlign w:val="center"/>
          </w:tcPr>
          <w:p w14:paraId="54B8BE23">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val="0"/>
                <w:bCs/>
                <w:color w:val="auto"/>
                <w:sz w:val="21"/>
                <w:szCs w:val="21"/>
                <w:highlight w:val="none"/>
                <w:lang w:eastAsia="zh-CN"/>
              </w:rPr>
            </w:pPr>
            <w:r>
              <w:rPr>
                <w:rFonts w:hint="eastAsia" w:ascii="宋体" w:hAnsi="宋体" w:cs="宋体"/>
                <w:b w:val="0"/>
                <w:bCs/>
                <w:color w:val="auto"/>
                <w:sz w:val="21"/>
                <w:szCs w:val="21"/>
                <w:highlight w:val="none"/>
              </w:rPr>
              <w:t>是否同意进入下一阶段</w:t>
            </w:r>
            <w:r>
              <w:rPr>
                <w:rFonts w:hint="eastAsia" w:ascii="宋体" w:hAnsi="宋体" w:cs="宋体"/>
                <w:b w:val="0"/>
                <w:bCs/>
                <w:color w:val="auto"/>
                <w:sz w:val="21"/>
                <w:szCs w:val="21"/>
                <w:highlight w:val="none"/>
                <w:lang w:val="en-US" w:eastAsia="zh-CN"/>
              </w:rPr>
              <w:t>评审</w:t>
            </w:r>
          </w:p>
        </w:tc>
      </w:tr>
      <w:tr w14:paraId="428C74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945" w:type="dxa"/>
            <w:noWrap w:val="0"/>
            <w:vAlign w:val="center"/>
          </w:tcPr>
          <w:p w14:paraId="1C5494DE">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3225" w:type="dxa"/>
            <w:noWrap w:val="0"/>
            <w:vAlign w:val="center"/>
          </w:tcPr>
          <w:p w14:paraId="68849362">
            <w:pPr>
              <w:keepNext w:val="0"/>
              <w:keepLines w:val="0"/>
              <w:pageBreakBefore w:val="0"/>
              <w:widowControl w:val="0"/>
              <w:kinsoku/>
              <w:wordWrap/>
              <w:overflowPunct/>
              <w:topLinePunct w:val="0"/>
              <w:autoSpaceDE/>
              <w:autoSpaceDN/>
              <w:bidi w:val="0"/>
              <w:snapToGrid/>
              <w:jc w:val="center"/>
              <w:textAlignment w:val="auto"/>
              <w:rPr>
                <w:rFonts w:hint="default" w:ascii="宋体" w:hAnsi="宋体" w:cs="宋体" w:eastAsiaTheme="minorEastAsia"/>
                <w:b/>
                <w:color w:val="auto"/>
                <w:kern w:val="2"/>
                <w:sz w:val="21"/>
                <w:szCs w:val="21"/>
                <w:highlight w:val="none"/>
                <w:lang w:val="en-US" w:eastAsia="zh-CN" w:bidi="ar-SA"/>
              </w:rPr>
            </w:pPr>
          </w:p>
        </w:tc>
        <w:tc>
          <w:tcPr>
            <w:tcW w:w="2490" w:type="dxa"/>
            <w:noWrap w:val="0"/>
            <w:vAlign w:val="center"/>
          </w:tcPr>
          <w:p w14:paraId="3C61D540">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2025" w:type="dxa"/>
            <w:noWrap w:val="0"/>
            <w:vAlign w:val="center"/>
          </w:tcPr>
          <w:p w14:paraId="7F276568">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1995" w:type="dxa"/>
            <w:noWrap w:val="0"/>
            <w:vAlign w:val="center"/>
          </w:tcPr>
          <w:p w14:paraId="3EC8FBDC">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1905" w:type="dxa"/>
            <w:noWrap w:val="0"/>
            <w:vAlign w:val="center"/>
          </w:tcPr>
          <w:p w14:paraId="0FDE30DE">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eastAsiaTheme="minorEastAsia"/>
                <w:b/>
                <w:color w:val="auto"/>
                <w:kern w:val="2"/>
                <w:sz w:val="21"/>
                <w:szCs w:val="21"/>
                <w:highlight w:val="none"/>
                <w:lang w:val="en-US" w:eastAsia="zh-CN" w:bidi="ar-SA"/>
              </w:rPr>
            </w:pPr>
          </w:p>
        </w:tc>
        <w:tc>
          <w:tcPr>
            <w:tcW w:w="1589" w:type="dxa"/>
            <w:noWrap w:val="0"/>
            <w:vAlign w:val="center"/>
          </w:tcPr>
          <w:p w14:paraId="5F751653">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r>
      <w:tr w14:paraId="0936CD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jc w:val="center"/>
        </w:trPr>
        <w:tc>
          <w:tcPr>
            <w:tcW w:w="945" w:type="dxa"/>
            <w:noWrap w:val="0"/>
            <w:vAlign w:val="center"/>
          </w:tcPr>
          <w:p w14:paraId="5CCC8D72">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3225" w:type="dxa"/>
            <w:noWrap w:val="0"/>
            <w:vAlign w:val="center"/>
          </w:tcPr>
          <w:p w14:paraId="1FD66F31">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color w:val="auto"/>
                <w:sz w:val="21"/>
                <w:szCs w:val="21"/>
                <w:highlight w:val="none"/>
              </w:rPr>
            </w:pPr>
          </w:p>
        </w:tc>
        <w:tc>
          <w:tcPr>
            <w:tcW w:w="2490" w:type="dxa"/>
            <w:noWrap w:val="0"/>
            <w:vAlign w:val="center"/>
          </w:tcPr>
          <w:p w14:paraId="6A26FBDD">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2025" w:type="dxa"/>
            <w:noWrap w:val="0"/>
            <w:vAlign w:val="center"/>
          </w:tcPr>
          <w:p w14:paraId="1B496BDB">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95" w:type="dxa"/>
            <w:noWrap w:val="0"/>
            <w:vAlign w:val="center"/>
          </w:tcPr>
          <w:p w14:paraId="7D734AE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05" w:type="dxa"/>
            <w:noWrap w:val="0"/>
            <w:vAlign w:val="center"/>
          </w:tcPr>
          <w:p w14:paraId="6432069C">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589" w:type="dxa"/>
            <w:noWrap w:val="0"/>
            <w:vAlign w:val="center"/>
          </w:tcPr>
          <w:p w14:paraId="3ADA80F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r>
      <w:tr w14:paraId="62AE1D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945" w:type="dxa"/>
            <w:noWrap w:val="0"/>
            <w:vAlign w:val="center"/>
          </w:tcPr>
          <w:p w14:paraId="32287B52">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3225" w:type="dxa"/>
            <w:noWrap w:val="0"/>
            <w:vAlign w:val="center"/>
          </w:tcPr>
          <w:p w14:paraId="53D85E15">
            <w:pPr>
              <w:keepNext w:val="0"/>
              <w:keepLines w:val="0"/>
              <w:pageBreakBefore w:val="0"/>
              <w:widowControl w:val="0"/>
              <w:kinsoku/>
              <w:wordWrap/>
              <w:overflowPunct/>
              <w:topLinePunct w:val="0"/>
              <w:autoSpaceDE/>
              <w:autoSpaceDN/>
              <w:bidi w:val="0"/>
              <w:snapToGrid/>
              <w:jc w:val="center"/>
              <w:textAlignment w:val="auto"/>
              <w:rPr>
                <w:rFonts w:hint="eastAsia" w:ascii="宋体" w:hAnsi="宋体" w:cs="宋体"/>
                <w:color w:val="auto"/>
                <w:sz w:val="21"/>
                <w:szCs w:val="21"/>
                <w:highlight w:val="none"/>
              </w:rPr>
            </w:pPr>
          </w:p>
        </w:tc>
        <w:tc>
          <w:tcPr>
            <w:tcW w:w="2490" w:type="dxa"/>
            <w:noWrap w:val="0"/>
            <w:vAlign w:val="center"/>
          </w:tcPr>
          <w:p w14:paraId="14E0A6B9">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2025" w:type="dxa"/>
            <w:noWrap w:val="0"/>
            <w:vAlign w:val="center"/>
          </w:tcPr>
          <w:p w14:paraId="522F4B46">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95" w:type="dxa"/>
            <w:noWrap w:val="0"/>
            <w:vAlign w:val="center"/>
          </w:tcPr>
          <w:p w14:paraId="6D95C74A">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905" w:type="dxa"/>
            <w:noWrap w:val="0"/>
            <w:vAlign w:val="center"/>
          </w:tcPr>
          <w:p w14:paraId="4862BF78">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c>
          <w:tcPr>
            <w:tcW w:w="1589" w:type="dxa"/>
            <w:noWrap w:val="0"/>
            <w:vAlign w:val="center"/>
          </w:tcPr>
          <w:p w14:paraId="2472909C">
            <w:pPr>
              <w:keepNext w:val="0"/>
              <w:keepLines w:val="0"/>
              <w:pageBreakBefore w:val="0"/>
              <w:widowControl w:val="0"/>
              <w:kinsoku/>
              <w:wordWrap/>
              <w:overflowPunct/>
              <w:topLinePunct w:val="0"/>
              <w:autoSpaceDE/>
              <w:autoSpaceDN/>
              <w:bidi w:val="0"/>
              <w:snapToGrid/>
              <w:spacing w:line="360" w:lineRule="auto"/>
              <w:jc w:val="center"/>
              <w:textAlignment w:val="auto"/>
              <w:rPr>
                <w:rFonts w:hint="eastAsia" w:ascii="宋体" w:hAnsi="宋体" w:cs="宋体"/>
                <w:color w:val="auto"/>
                <w:sz w:val="21"/>
                <w:szCs w:val="21"/>
                <w:highlight w:val="none"/>
              </w:rPr>
            </w:pPr>
          </w:p>
        </w:tc>
      </w:tr>
    </w:tbl>
    <w:p w14:paraId="6B832EC4">
      <w:pPr>
        <w:keepNext w:val="0"/>
        <w:keepLines w:val="0"/>
        <w:pageBreakBefore w:val="0"/>
        <w:widowControl w:val="0"/>
        <w:kinsoku/>
        <w:wordWrap/>
        <w:overflowPunct/>
        <w:topLinePunct w:val="0"/>
        <w:autoSpaceDE/>
        <w:autoSpaceDN/>
        <w:bidi w:val="0"/>
        <w:snapToGrid/>
        <w:spacing w:line="360" w:lineRule="auto"/>
        <w:textAlignment w:val="auto"/>
        <w:rPr>
          <w:rFonts w:hint="eastAsia" w:ascii="宋体" w:hAnsi="宋体" w:cs="宋体"/>
          <w:color w:val="auto"/>
          <w:highlight w:val="none"/>
        </w:rPr>
      </w:pPr>
      <w:r>
        <w:rPr>
          <w:rFonts w:hint="eastAsia" w:ascii="宋体" w:hAnsi="宋体" w:cs="宋体"/>
          <w:color w:val="auto"/>
          <w:highlight w:val="none"/>
        </w:rPr>
        <w:t>备注：1.每一项目符合的打“</w:t>
      </w:r>
      <w:r>
        <w:rPr>
          <w:rFonts w:hint="eastAsia" w:ascii="宋体" w:hAnsi="宋体" w:cs="宋体"/>
          <w:color w:val="auto"/>
          <w:szCs w:val="21"/>
          <w:highlight w:val="none"/>
        </w:rPr>
        <w:t>○</w:t>
      </w:r>
      <w:r>
        <w:rPr>
          <w:rFonts w:hint="eastAsia" w:ascii="宋体" w:hAnsi="宋体" w:cs="宋体"/>
          <w:color w:val="auto"/>
          <w:highlight w:val="none"/>
        </w:rPr>
        <w:t>”，不符合的打“×”；出现一个“×”的结论为不通过。</w:t>
      </w:r>
    </w:p>
    <w:p w14:paraId="618664DA">
      <w:pPr>
        <w:keepNext w:val="0"/>
        <w:keepLines w:val="0"/>
        <w:pageBreakBefore w:val="0"/>
        <w:widowControl w:val="0"/>
        <w:kinsoku/>
        <w:wordWrap/>
        <w:overflowPunct/>
        <w:topLinePunct w:val="0"/>
        <w:autoSpaceDE/>
        <w:autoSpaceDN/>
        <w:bidi w:val="0"/>
        <w:snapToGrid/>
        <w:spacing w:line="360" w:lineRule="auto"/>
        <w:ind w:firstLine="630"/>
        <w:textAlignment w:val="auto"/>
        <w:rPr>
          <w:rFonts w:hint="eastAsia" w:ascii="宋体" w:hAnsi="宋体" w:cs="宋体"/>
          <w:color w:val="auto"/>
          <w:highlight w:val="none"/>
        </w:rPr>
      </w:pPr>
      <w:r>
        <w:rPr>
          <w:rFonts w:hint="eastAsia" w:ascii="宋体" w:hAnsi="宋体" w:cs="宋体"/>
          <w:color w:val="auto"/>
          <w:highlight w:val="none"/>
        </w:rPr>
        <w:t>2.表中全部条件满足为通过，同意进入下一阶段评议。</w:t>
      </w:r>
    </w:p>
    <w:p w14:paraId="19694C5C">
      <w:pPr>
        <w:keepNext w:val="0"/>
        <w:keepLines w:val="0"/>
        <w:pageBreakBefore w:val="0"/>
        <w:widowControl w:val="0"/>
        <w:kinsoku/>
        <w:wordWrap/>
        <w:overflowPunct/>
        <w:topLinePunct w:val="0"/>
        <w:autoSpaceDE/>
        <w:autoSpaceDN/>
        <w:bidi w:val="0"/>
        <w:snapToGrid/>
        <w:spacing w:line="360" w:lineRule="auto"/>
        <w:ind w:firstLine="630"/>
        <w:textAlignment w:val="auto"/>
        <w:rPr>
          <w:rFonts w:hint="eastAsia" w:ascii="宋体" w:hAnsi="宋体" w:cs="宋体"/>
          <w:color w:val="auto"/>
          <w:highlight w:val="none"/>
        </w:rPr>
      </w:pPr>
      <w:r>
        <w:rPr>
          <w:rFonts w:hint="eastAsia" w:ascii="宋体" w:hAnsi="宋体" w:cs="宋体"/>
          <w:color w:val="auto"/>
          <w:highlight w:val="none"/>
        </w:rPr>
        <w:t>3.是否同意进入下一阶段</w:t>
      </w:r>
      <w:r>
        <w:rPr>
          <w:rFonts w:hint="eastAsia" w:ascii="宋体" w:hAnsi="宋体" w:cs="宋体"/>
          <w:b w:val="0"/>
          <w:bCs/>
          <w:color w:val="auto"/>
          <w:sz w:val="21"/>
          <w:szCs w:val="21"/>
          <w:highlight w:val="none"/>
          <w:lang w:val="en-US" w:eastAsia="zh-CN"/>
        </w:rPr>
        <w:t>评选</w:t>
      </w:r>
      <w:r>
        <w:rPr>
          <w:rFonts w:hint="eastAsia" w:ascii="宋体" w:hAnsi="宋体" w:cs="宋体"/>
          <w:color w:val="auto"/>
          <w:highlight w:val="none"/>
        </w:rPr>
        <w:t>一栏中应写“是”或“否”。</w:t>
      </w:r>
    </w:p>
    <w:p w14:paraId="2E4CC9A6">
      <w:pPr>
        <w:keepNext w:val="0"/>
        <w:keepLines w:val="0"/>
        <w:pageBreakBefore w:val="0"/>
        <w:widowControl w:val="0"/>
        <w:kinsoku/>
        <w:wordWrap/>
        <w:overflowPunct/>
        <w:topLinePunct w:val="0"/>
        <w:autoSpaceDE/>
        <w:autoSpaceDN/>
        <w:bidi w:val="0"/>
        <w:snapToGrid/>
        <w:spacing w:line="360" w:lineRule="auto"/>
        <w:ind w:firstLine="630"/>
        <w:textAlignment w:val="auto"/>
        <w:rPr>
          <w:rFonts w:hint="eastAsia" w:ascii="宋体" w:hAnsi="宋体" w:cs="宋体"/>
          <w:color w:val="auto"/>
          <w:highlight w:val="none"/>
        </w:rPr>
      </w:pPr>
    </w:p>
    <w:p w14:paraId="7E779560">
      <w:pPr>
        <w:keepNext w:val="0"/>
        <w:keepLines w:val="0"/>
        <w:pageBreakBefore w:val="0"/>
        <w:widowControl w:val="0"/>
        <w:kinsoku/>
        <w:wordWrap/>
        <w:overflowPunct/>
        <w:topLinePunct w:val="0"/>
        <w:autoSpaceDE/>
        <w:autoSpaceDN/>
        <w:bidi w:val="0"/>
        <w:snapToGrid/>
        <w:spacing w:line="460" w:lineRule="exact"/>
        <w:textAlignment w:val="auto"/>
        <w:rPr>
          <w:rFonts w:hint="eastAsia" w:ascii="宋体" w:hAnsi="宋体" w:cs="宋体"/>
          <w:color w:val="auto"/>
          <w:highlight w:val="none"/>
        </w:rPr>
      </w:pPr>
      <w:r>
        <w:rPr>
          <w:rFonts w:hint="eastAsia" w:ascii="宋体" w:hAnsi="宋体" w:cs="宋体"/>
          <w:color w:val="auto"/>
          <w:highlight w:val="none"/>
        </w:rPr>
        <w:t>评委签名：</w:t>
      </w:r>
      <w:r>
        <w:rPr>
          <w:rFonts w:hint="eastAsia" w:ascii="宋体" w:hAnsi="宋体" w:cs="宋体"/>
          <w:color w:val="auto"/>
          <w:highlight w:val="none"/>
          <w:lang w:val="en-US" w:eastAsia="zh-CN"/>
        </w:rPr>
        <w:t xml:space="preserve">                                              </w:t>
      </w:r>
      <w:r>
        <w:rPr>
          <w:rFonts w:hint="eastAsia" w:ascii="宋体" w:hAnsi="宋体" w:cs="宋体"/>
          <w:color w:val="auto"/>
          <w:highlight w:val="none"/>
        </w:rPr>
        <w:t>日期：</w:t>
      </w:r>
    </w:p>
    <w:p w14:paraId="70494AC6">
      <w:pPr>
        <w:pStyle w:val="2"/>
        <w:keepNext w:val="0"/>
        <w:keepLines w:val="0"/>
        <w:pageBreakBefore w:val="0"/>
        <w:widowControl w:val="0"/>
        <w:kinsoku/>
        <w:wordWrap/>
        <w:overflowPunct/>
        <w:topLinePunct w:val="0"/>
        <w:autoSpaceDE/>
        <w:autoSpaceDN/>
        <w:bidi w:val="0"/>
        <w:snapToGrid/>
        <w:textAlignment w:val="auto"/>
        <w:rPr>
          <w:rFonts w:hint="eastAsia" w:ascii="仿宋_GB2312" w:hAnsi="仿宋_GB2312" w:eastAsia="仿宋_GB2312" w:cs="仿宋_GB2312"/>
          <w:color w:val="auto"/>
          <w:sz w:val="32"/>
          <w:szCs w:val="32"/>
          <w:highlight w:val="none"/>
          <w:lang w:val="en-US" w:eastAsia="zh-CN"/>
        </w:rPr>
      </w:pPr>
    </w:p>
    <w:p w14:paraId="21065832">
      <w:pPr>
        <w:pStyle w:val="2"/>
        <w:keepNext w:val="0"/>
        <w:keepLines w:val="0"/>
        <w:pageBreakBefore w:val="0"/>
        <w:widowControl w:val="0"/>
        <w:kinsoku/>
        <w:wordWrap/>
        <w:overflowPunct/>
        <w:topLinePunct w:val="0"/>
        <w:autoSpaceDE/>
        <w:autoSpaceDN/>
        <w:bidi w:val="0"/>
        <w:snapToGrid/>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32"/>
          <w:highlight w:val="none"/>
          <w:lang w:val="en-US" w:eastAsia="zh-CN"/>
        </w:rPr>
        <w:t>附表1-2：</w:t>
      </w:r>
      <w:r>
        <w:rPr>
          <w:rFonts w:hint="eastAsia" w:ascii="仿宋_GB2312" w:hAnsi="仿宋_GB2312" w:eastAsia="仿宋_GB2312" w:cs="仿宋_GB2312"/>
          <w:b/>
          <w:bCs/>
          <w:color w:val="auto"/>
          <w:sz w:val="32"/>
          <w:szCs w:val="32"/>
          <w:highlight w:val="none"/>
        </w:rPr>
        <w:t>评审标准</w:t>
      </w:r>
      <w:r>
        <w:rPr>
          <w:rFonts w:hint="eastAsia" w:ascii="仿宋_GB2312" w:hAnsi="仿宋_GB2312" w:eastAsia="仿宋_GB2312" w:cs="仿宋_GB2312"/>
          <w:b/>
          <w:bCs/>
          <w:color w:val="auto"/>
          <w:sz w:val="32"/>
          <w:szCs w:val="32"/>
          <w:highlight w:val="none"/>
          <w:lang w:val="en-US" w:eastAsia="zh-CN"/>
        </w:rPr>
        <w:t>表（分值构成：商务部分15.0分；技术部分55.0分；价格部分30.0分）</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21"/>
        <w:gridCol w:w="12253"/>
      </w:tblGrid>
      <w:tr w14:paraId="30EFD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4" w:type="dxa"/>
            <w:gridSpan w:val="2"/>
            <w:tcBorders>
              <w:top w:val="single" w:color="auto" w:sz="4" w:space="0"/>
              <w:left w:val="single" w:color="auto" w:sz="4" w:space="0"/>
              <w:right w:val="single" w:color="auto" w:sz="4" w:space="0"/>
            </w:tcBorders>
            <w:vAlign w:val="center"/>
          </w:tcPr>
          <w:p w14:paraId="57928E16">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bCs/>
                <w:color w:val="auto"/>
                <w:sz w:val="32"/>
                <w:szCs w:val="32"/>
                <w:highlight w:val="none"/>
                <w:lang w:val="en-US" w:eastAsia="zh-CN"/>
              </w:rPr>
              <w:t>商务部分15.0分</w:t>
            </w:r>
          </w:p>
        </w:tc>
      </w:tr>
      <w:tr w14:paraId="62F92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688" w:hRule="atLeast"/>
        </w:trPr>
        <w:tc>
          <w:tcPr>
            <w:tcW w:w="1921" w:type="dxa"/>
            <w:tcBorders>
              <w:top w:val="single" w:color="auto" w:sz="4" w:space="0"/>
              <w:left w:val="single" w:color="auto" w:sz="4" w:space="0"/>
              <w:bottom w:val="single" w:color="auto" w:sz="4" w:space="0"/>
              <w:right w:val="single" w:color="auto" w:sz="4" w:space="0"/>
            </w:tcBorders>
            <w:vAlign w:val="center"/>
          </w:tcPr>
          <w:p w14:paraId="738F464B">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业绩</w:t>
            </w:r>
          </w:p>
          <w:p w14:paraId="0D985015">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 xml:space="preserve"> (10.0分）</w:t>
            </w:r>
          </w:p>
        </w:tc>
        <w:tc>
          <w:tcPr>
            <w:tcW w:w="12253" w:type="dxa"/>
            <w:tcBorders>
              <w:top w:val="single" w:color="auto" w:sz="4" w:space="0"/>
              <w:left w:val="single" w:color="auto" w:sz="4" w:space="0"/>
              <w:bottom w:val="single" w:color="auto" w:sz="4" w:space="0"/>
              <w:right w:val="single" w:color="auto" w:sz="4" w:space="0"/>
            </w:tcBorders>
            <w:vAlign w:val="center"/>
          </w:tcPr>
          <w:p w14:paraId="4835B8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自</w:t>
            </w:r>
            <w:r>
              <w:rPr>
                <w:rFonts w:hint="eastAsia" w:ascii="仿宋_GB2312" w:hAnsi="仿宋_GB2312" w:eastAsia="仿宋_GB2312" w:cs="仿宋_GB2312"/>
                <w:b w:val="0"/>
                <w:bCs w:val="0"/>
                <w:color w:val="auto"/>
                <w:sz w:val="24"/>
                <w:szCs w:val="24"/>
                <w:highlight w:val="none"/>
                <w:lang w:val="en-US" w:eastAsia="zh-CN"/>
              </w:rPr>
              <w:t>2023</w:t>
            </w:r>
            <w:r>
              <w:rPr>
                <w:rFonts w:hint="eastAsia" w:ascii="仿宋_GB2312" w:hAnsi="仿宋_GB2312" w:eastAsia="仿宋_GB2312" w:cs="仿宋_GB2312"/>
                <w:b w:val="0"/>
                <w:bCs w:val="0"/>
                <w:color w:val="auto"/>
                <w:sz w:val="24"/>
                <w:szCs w:val="24"/>
                <w:highlight w:val="none"/>
              </w:rPr>
              <w:t>年</w:t>
            </w:r>
            <w:r>
              <w:rPr>
                <w:rFonts w:hint="eastAsia" w:ascii="仿宋_GB2312" w:hAnsi="仿宋_GB2312" w:eastAsia="仿宋_GB2312" w:cs="仿宋_GB2312"/>
                <w:b w:val="0"/>
                <w:bCs w:val="0"/>
                <w:color w:val="auto"/>
                <w:sz w:val="24"/>
                <w:szCs w:val="24"/>
                <w:highlight w:val="none"/>
                <w:lang w:val="en-US" w:eastAsia="zh-CN"/>
              </w:rPr>
              <w:t>1月1日</w:t>
            </w:r>
            <w:r>
              <w:rPr>
                <w:rFonts w:hint="eastAsia" w:ascii="仿宋_GB2312" w:hAnsi="仿宋_GB2312" w:eastAsia="仿宋_GB2312" w:cs="仿宋_GB2312"/>
                <w:b w:val="0"/>
                <w:bCs w:val="0"/>
                <w:color w:val="auto"/>
                <w:sz w:val="24"/>
                <w:szCs w:val="24"/>
                <w:highlight w:val="none"/>
              </w:rPr>
              <w:t>至今，</w:t>
            </w:r>
            <w:bookmarkStart w:id="2" w:name="OLE_LINK1"/>
            <w:r>
              <w:rPr>
                <w:rFonts w:hint="eastAsia" w:ascii="仿宋_GB2312" w:hAnsi="仿宋_GB2312" w:eastAsia="仿宋_GB2312" w:cs="仿宋_GB2312"/>
                <w:b w:val="0"/>
                <w:bCs w:val="0"/>
                <w:color w:val="auto"/>
                <w:sz w:val="24"/>
                <w:szCs w:val="24"/>
                <w:highlight w:val="none"/>
              </w:rPr>
              <w:t>承接过同类项目业绩，</w:t>
            </w:r>
            <w:bookmarkEnd w:id="2"/>
            <w:r>
              <w:rPr>
                <w:rFonts w:hint="eastAsia" w:ascii="仿宋_GB2312" w:hAnsi="仿宋_GB2312" w:eastAsia="仿宋_GB2312" w:cs="仿宋_GB2312"/>
                <w:b w:val="0"/>
                <w:bCs w:val="0"/>
                <w:color w:val="auto"/>
                <w:sz w:val="24"/>
                <w:szCs w:val="24"/>
                <w:highlight w:val="none"/>
              </w:rPr>
              <w:t>每个业绩得</w:t>
            </w:r>
            <w:r>
              <w:rPr>
                <w:rFonts w:hint="eastAsia" w:ascii="仿宋_GB2312" w:hAnsi="仿宋_GB2312" w:eastAsia="仿宋_GB2312" w:cs="仿宋_GB2312"/>
                <w:b w:val="0"/>
                <w:bCs w:val="0"/>
                <w:color w:val="auto"/>
                <w:sz w:val="24"/>
                <w:szCs w:val="24"/>
                <w:highlight w:val="none"/>
                <w:lang w:val="en-US" w:eastAsia="zh-CN"/>
              </w:rPr>
              <w:t>2</w:t>
            </w:r>
            <w:r>
              <w:rPr>
                <w:rFonts w:hint="eastAsia" w:ascii="仿宋_GB2312" w:hAnsi="仿宋_GB2312" w:eastAsia="仿宋_GB2312" w:cs="仿宋_GB2312"/>
                <w:b w:val="0"/>
                <w:bCs w:val="0"/>
                <w:color w:val="auto"/>
                <w:sz w:val="24"/>
                <w:szCs w:val="24"/>
                <w:highlight w:val="none"/>
              </w:rPr>
              <w:t>分，最高得</w:t>
            </w:r>
            <w:r>
              <w:rPr>
                <w:rFonts w:hint="eastAsia" w:ascii="仿宋_GB2312" w:hAnsi="仿宋_GB2312" w:eastAsia="仿宋_GB2312" w:cs="仿宋_GB2312"/>
                <w:b w:val="0"/>
                <w:bCs w:val="0"/>
                <w:color w:val="auto"/>
                <w:sz w:val="24"/>
                <w:szCs w:val="24"/>
                <w:highlight w:val="none"/>
                <w:lang w:val="en-US" w:eastAsia="zh-CN"/>
              </w:rPr>
              <w:t>10</w:t>
            </w:r>
            <w:r>
              <w:rPr>
                <w:rFonts w:hint="eastAsia" w:ascii="仿宋_GB2312" w:hAnsi="仿宋_GB2312" w:eastAsia="仿宋_GB2312" w:cs="仿宋_GB2312"/>
                <w:b w:val="0"/>
                <w:bCs w:val="0"/>
                <w:color w:val="auto"/>
                <w:sz w:val="24"/>
                <w:szCs w:val="24"/>
                <w:highlight w:val="none"/>
              </w:rPr>
              <w:t xml:space="preserve">分。 </w:t>
            </w:r>
          </w:p>
          <w:p w14:paraId="303F16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注：业绩时间以签订合同时间为准，提供复印件并加盖公章，未按要求提供的不得分。</w:t>
            </w:r>
          </w:p>
          <w:p w14:paraId="53AD545D">
            <w:pPr>
              <w:pStyle w:val="2"/>
              <w:rPr>
                <w:rFonts w:hint="eastAsia"/>
                <w:highlight w:val="none"/>
                <w:lang w:val="en-US" w:eastAsia="zh-CN"/>
              </w:rPr>
            </w:pPr>
            <w:r>
              <w:rPr>
                <w:rFonts w:hint="eastAsia" w:ascii="仿宋_GB2312" w:hAnsi="仿宋_GB2312" w:eastAsia="仿宋_GB2312" w:cs="仿宋_GB2312"/>
                <w:b w:val="0"/>
                <w:bCs w:val="0"/>
                <w:color w:val="auto"/>
                <w:kern w:val="2"/>
                <w:sz w:val="24"/>
                <w:szCs w:val="24"/>
                <w:highlight w:val="none"/>
                <w:lang w:val="en-US" w:eastAsia="zh-CN" w:bidi="ar-SA"/>
              </w:rPr>
              <w:t>【注：响应文件中须提供项目合同复印件加盖供应商公章作为证明材料，同一个项目多份合同（如按年签订）不可重复得分，资料不齐全或未提供或专家无法认定的不得分】</w:t>
            </w:r>
          </w:p>
        </w:tc>
      </w:tr>
      <w:tr w14:paraId="5B0A9F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2019" w:hRule="atLeast"/>
        </w:trPr>
        <w:tc>
          <w:tcPr>
            <w:tcW w:w="1921" w:type="dxa"/>
            <w:tcBorders>
              <w:top w:val="single" w:color="auto" w:sz="4" w:space="0"/>
              <w:left w:val="single" w:color="auto" w:sz="4" w:space="0"/>
              <w:bottom w:val="single" w:color="auto" w:sz="4" w:space="0"/>
              <w:right w:val="single" w:color="auto" w:sz="4" w:space="0"/>
            </w:tcBorders>
            <w:vAlign w:val="center"/>
          </w:tcPr>
          <w:p w14:paraId="3ED2BA08">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用户评价</w:t>
            </w:r>
          </w:p>
          <w:p w14:paraId="70333C2C">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 xml:space="preserve"> (5.0分）</w:t>
            </w:r>
          </w:p>
        </w:tc>
        <w:tc>
          <w:tcPr>
            <w:tcW w:w="12253" w:type="dxa"/>
            <w:tcBorders>
              <w:top w:val="single" w:color="auto" w:sz="4" w:space="0"/>
              <w:left w:val="single" w:color="auto" w:sz="4" w:space="0"/>
              <w:bottom w:val="single" w:color="auto" w:sz="4" w:space="0"/>
              <w:right w:val="single" w:color="auto" w:sz="4" w:space="0"/>
            </w:tcBorders>
            <w:vAlign w:val="center"/>
          </w:tcPr>
          <w:p w14:paraId="688A1AA6">
            <w:pPr>
              <w:pStyle w:val="2"/>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根据</w:t>
            </w: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上述“同类业绩”评审项在评分中被核定为有效业绩的项目进行评审：</w:t>
            </w:r>
          </w:p>
          <w:p w14:paraId="738F71CD">
            <w:pPr>
              <w:pStyle w:val="2"/>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获得用户满意度评定为优或类似表述如优秀、好评、满意、90分以上等，每个得</w:t>
            </w:r>
            <w:r>
              <w:rPr>
                <w:rFonts w:hint="eastAsia" w:ascii="仿宋_GB2312" w:hAnsi="仿宋_GB2312" w:eastAsia="仿宋_GB2312" w:cs="仿宋_GB2312"/>
                <w:b w:val="0"/>
                <w:bCs w:val="0"/>
                <w:color w:val="auto"/>
                <w:sz w:val="24"/>
                <w:szCs w:val="24"/>
                <w:highlight w:val="none"/>
                <w:lang w:val="en-US" w:eastAsia="zh-CN"/>
              </w:rPr>
              <w:t>1</w:t>
            </w:r>
            <w:r>
              <w:rPr>
                <w:rFonts w:hint="eastAsia" w:ascii="仿宋_GB2312" w:hAnsi="仿宋_GB2312" w:eastAsia="仿宋_GB2312" w:cs="仿宋_GB2312"/>
                <w:b w:val="0"/>
                <w:bCs w:val="0"/>
                <w:color w:val="auto"/>
                <w:sz w:val="24"/>
                <w:szCs w:val="24"/>
                <w:highlight w:val="none"/>
              </w:rPr>
              <w:t>分，本项最高</w:t>
            </w:r>
            <w:r>
              <w:rPr>
                <w:rFonts w:hint="eastAsia" w:ascii="仿宋_GB2312" w:hAnsi="仿宋_GB2312" w:eastAsia="仿宋_GB2312" w:cs="仿宋_GB2312"/>
                <w:b w:val="0"/>
                <w:bCs w:val="0"/>
                <w:color w:val="auto"/>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分，其他等级不得分。</w:t>
            </w:r>
          </w:p>
          <w:p w14:paraId="360158F1">
            <w:pPr>
              <w:pStyle w:val="2"/>
              <w:rPr>
                <w:rFonts w:hint="eastAsia"/>
                <w:highlight w:val="none"/>
              </w:rPr>
            </w:pPr>
            <w:r>
              <w:rPr>
                <w:rFonts w:hint="eastAsia" w:ascii="仿宋_GB2312" w:hAnsi="仿宋_GB2312" w:eastAsia="仿宋_GB2312" w:cs="仿宋_GB2312"/>
                <w:b w:val="0"/>
                <w:bCs w:val="0"/>
                <w:color w:val="auto"/>
                <w:sz w:val="24"/>
                <w:szCs w:val="24"/>
                <w:highlight w:val="none"/>
              </w:rPr>
              <w:t>【注：</w:t>
            </w:r>
            <w:r>
              <w:rPr>
                <w:rFonts w:hint="eastAsia" w:ascii="仿宋_GB2312" w:hAnsi="仿宋_GB2312" w:eastAsia="仿宋_GB2312" w:cs="仿宋_GB2312"/>
                <w:b w:val="0"/>
                <w:bCs w:val="0"/>
                <w:color w:val="auto"/>
                <w:sz w:val="24"/>
                <w:szCs w:val="24"/>
                <w:highlight w:val="none"/>
                <w:lang w:eastAsia="zh-CN"/>
              </w:rPr>
              <w:t>响应文件</w:t>
            </w:r>
            <w:r>
              <w:rPr>
                <w:rFonts w:hint="eastAsia" w:ascii="仿宋_GB2312" w:hAnsi="仿宋_GB2312" w:eastAsia="仿宋_GB2312" w:cs="仿宋_GB2312"/>
                <w:b w:val="0"/>
                <w:bCs w:val="0"/>
                <w:color w:val="auto"/>
                <w:sz w:val="24"/>
                <w:szCs w:val="24"/>
                <w:highlight w:val="none"/>
              </w:rPr>
              <w:t>中须提供对应合同业主评价或服务单位考核评价资料复印件（须有业主单位盖章）并加盖</w:t>
            </w: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公章，不对应或不按要求提供的不得分</w:t>
            </w:r>
            <w:r>
              <w:rPr>
                <w:rFonts w:hint="eastAsia" w:ascii="仿宋_GB2312" w:hAnsi="仿宋_GB2312" w:eastAsia="仿宋_GB2312" w:cs="仿宋_GB2312"/>
                <w:b w:val="0"/>
                <w:bCs w:val="0"/>
                <w:color w:val="auto"/>
                <w:sz w:val="24"/>
                <w:szCs w:val="24"/>
                <w:highlight w:val="none"/>
                <w:lang w:eastAsia="zh-CN"/>
              </w:rPr>
              <w:t>】</w:t>
            </w:r>
          </w:p>
        </w:tc>
      </w:tr>
      <w:tr w14:paraId="0F5670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4174" w:type="dxa"/>
            <w:gridSpan w:val="2"/>
            <w:tcBorders>
              <w:top w:val="single" w:color="auto" w:sz="4" w:space="0"/>
              <w:left w:val="single" w:color="auto" w:sz="4" w:space="0"/>
              <w:right w:val="single" w:color="auto" w:sz="4" w:space="0"/>
            </w:tcBorders>
            <w:vAlign w:val="center"/>
          </w:tcPr>
          <w:p w14:paraId="58CEBA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bCs/>
                <w:color w:val="auto"/>
                <w:sz w:val="32"/>
                <w:szCs w:val="32"/>
                <w:highlight w:val="none"/>
                <w:lang w:val="en-US" w:eastAsia="zh-CN"/>
              </w:rPr>
              <w:t>技术部分55.0分</w:t>
            </w:r>
          </w:p>
        </w:tc>
      </w:tr>
      <w:tr w14:paraId="7B1A82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984" w:hRule="atLeast"/>
        </w:trPr>
        <w:tc>
          <w:tcPr>
            <w:tcW w:w="1921" w:type="dxa"/>
            <w:tcBorders>
              <w:top w:val="single" w:color="auto" w:sz="4" w:space="0"/>
              <w:left w:val="single" w:color="auto" w:sz="4" w:space="0"/>
              <w:bottom w:val="single" w:color="auto" w:sz="4" w:space="0"/>
              <w:right w:val="single" w:color="auto" w:sz="4" w:space="0"/>
            </w:tcBorders>
            <w:vAlign w:val="center"/>
          </w:tcPr>
          <w:p w14:paraId="4671559D">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项目服务方案 (15.0分）</w:t>
            </w:r>
          </w:p>
        </w:tc>
        <w:tc>
          <w:tcPr>
            <w:tcW w:w="12253" w:type="dxa"/>
            <w:tcBorders>
              <w:top w:val="single" w:color="auto" w:sz="4" w:space="0"/>
              <w:left w:val="single" w:color="auto" w:sz="4" w:space="0"/>
              <w:bottom w:val="single" w:color="auto" w:sz="4" w:space="0"/>
              <w:right w:val="single" w:color="auto" w:sz="4" w:space="0"/>
            </w:tcBorders>
            <w:vAlign w:val="center"/>
          </w:tcPr>
          <w:p w14:paraId="3891EE65">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根据供应商提供的服务方案（包括但不限于：报名系统、考试命题、印刷服务、押运服务、阅卷评分服务）进行评审：</w:t>
            </w:r>
          </w:p>
          <w:p w14:paraId="2685B890">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 xml:space="preserve">（1）服务方案详细具体，承诺具体可行，团队支撑力强，流程及规范完善，科学合理、针对性和专业性强，得15分； </w:t>
            </w:r>
          </w:p>
          <w:p w14:paraId="7CC7F513">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（2）服务方案较详细，承诺基本可行，团队支撑力较强，流程及规范基本完善，科学性、合理性、针对性和专业性较强，得10分；</w:t>
            </w:r>
          </w:p>
          <w:p w14:paraId="77149F2B">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（3）服务方案详细程度一般，承诺部分可行，团队支撑力一般，流程及规范完善程度一般，科学性、合理性、针对性和专业性一般，得5分；</w:t>
            </w:r>
          </w:p>
          <w:p w14:paraId="3069364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default" w:eastAsia="仿宋_GB2312"/>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（4）服务方案简单，承诺不可行，团队支撑力较差，流程及规范不完善，科学性、合理性、针对性和专业性差，或未提供相关内容阐述的，得0分。</w:t>
            </w:r>
          </w:p>
        </w:tc>
      </w:tr>
      <w:tr w14:paraId="450EA1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71" w:hRule="atLeast"/>
        </w:trPr>
        <w:tc>
          <w:tcPr>
            <w:tcW w:w="1921" w:type="dxa"/>
            <w:tcBorders>
              <w:top w:val="single" w:color="auto" w:sz="4" w:space="0"/>
              <w:left w:val="single" w:color="auto" w:sz="4" w:space="0"/>
              <w:bottom w:val="single" w:color="auto" w:sz="4" w:space="0"/>
              <w:right w:val="single" w:color="auto" w:sz="4" w:space="0"/>
            </w:tcBorders>
            <w:vAlign w:val="center"/>
          </w:tcPr>
          <w:p w14:paraId="1286EC9E">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质量保证措施</w:t>
            </w:r>
          </w:p>
          <w:p w14:paraId="12DA1C30">
            <w:pPr>
              <w:pStyle w:val="2"/>
              <w:jc w:val="center"/>
              <w:rPr>
                <w:rFonts w:hint="eastAsia"/>
                <w:highlight w:val="none"/>
                <w:lang w:val="en-US" w:eastAsia="zh-CN"/>
              </w:rPr>
            </w:pPr>
            <w:r>
              <w:rPr>
                <w:rFonts w:hint="eastAsia" w:ascii="仿宋_GB2312" w:hAnsi="仿宋_GB2312" w:eastAsia="仿宋_GB2312" w:cs="仿宋_GB2312"/>
                <w:b w:val="0"/>
                <w:bCs w:val="0"/>
                <w:color w:val="auto"/>
                <w:kern w:val="2"/>
                <w:sz w:val="24"/>
                <w:szCs w:val="24"/>
                <w:highlight w:val="none"/>
                <w:lang w:val="en-US" w:eastAsia="zh-CN" w:bidi="ar-SA"/>
              </w:rPr>
              <w:t>(15.0分）</w:t>
            </w:r>
          </w:p>
        </w:tc>
        <w:tc>
          <w:tcPr>
            <w:tcW w:w="12253" w:type="dxa"/>
            <w:tcBorders>
              <w:top w:val="single" w:color="auto" w:sz="4" w:space="0"/>
              <w:left w:val="single" w:color="auto" w:sz="4" w:space="0"/>
              <w:bottom w:val="single" w:color="auto" w:sz="4" w:space="0"/>
              <w:right w:val="single" w:color="auto" w:sz="4" w:space="0"/>
            </w:tcBorders>
            <w:vAlign w:val="center"/>
          </w:tcPr>
          <w:p w14:paraId="2B2865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根据</w:t>
            </w:r>
            <w:r>
              <w:rPr>
                <w:rFonts w:hint="eastAsia" w:ascii="仿宋_GB2312" w:hAnsi="仿宋_GB2312" w:eastAsia="仿宋_GB2312" w:cs="仿宋_GB2312"/>
                <w:b w:val="0"/>
                <w:bCs w:val="0"/>
                <w:color w:val="auto"/>
                <w:sz w:val="24"/>
                <w:szCs w:val="24"/>
                <w:highlight w:val="none"/>
                <w:lang w:eastAsia="zh-CN"/>
              </w:rPr>
              <w:t>供应商</w:t>
            </w:r>
            <w:r>
              <w:rPr>
                <w:rFonts w:hint="eastAsia" w:ascii="仿宋_GB2312" w:hAnsi="仿宋_GB2312" w:eastAsia="仿宋_GB2312" w:cs="仿宋_GB2312"/>
                <w:b w:val="0"/>
                <w:bCs w:val="0"/>
                <w:color w:val="auto"/>
                <w:sz w:val="24"/>
                <w:szCs w:val="24"/>
                <w:highlight w:val="none"/>
              </w:rPr>
              <w:t>提供的质量保证措施（内容包括但不限于：运输保障、进度计划安排）进行评审：</w:t>
            </w:r>
          </w:p>
          <w:p w14:paraId="0E6194D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（1）措施全面具体、计划详细可行，能完全满足采购需求及项目实施要求的，得</w:t>
            </w:r>
            <w:r>
              <w:rPr>
                <w:rFonts w:hint="eastAsia" w:ascii="仿宋_GB2312" w:hAnsi="仿宋_GB2312" w:eastAsia="仿宋_GB2312" w:cs="仿宋_GB2312"/>
                <w:b w:val="0"/>
                <w:bCs w:val="0"/>
                <w:color w:val="auto"/>
                <w:sz w:val="24"/>
                <w:szCs w:val="24"/>
                <w:highlight w:val="none"/>
                <w:lang w:val="en-US" w:eastAsia="zh-CN"/>
              </w:rPr>
              <w:t>15</w:t>
            </w:r>
            <w:r>
              <w:rPr>
                <w:rFonts w:hint="eastAsia" w:ascii="仿宋_GB2312" w:hAnsi="仿宋_GB2312" w:eastAsia="仿宋_GB2312" w:cs="仿宋_GB2312"/>
                <w:b w:val="0"/>
                <w:bCs w:val="0"/>
                <w:color w:val="auto"/>
                <w:sz w:val="24"/>
                <w:szCs w:val="24"/>
                <w:highlight w:val="none"/>
              </w:rPr>
              <w:t>分；</w:t>
            </w:r>
          </w:p>
          <w:p w14:paraId="0917F3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（2）措施基本全面、计划可行性较好，能基本满足采购需求及项目实施要求的，得</w:t>
            </w:r>
            <w:r>
              <w:rPr>
                <w:rFonts w:hint="eastAsia" w:ascii="仿宋_GB2312" w:hAnsi="仿宋_GB2312" w:eastAsia="仿宋_GB2312" w:cs="仿宋_GB2312"/>
                <w:b w:val="0"/>
                <w:bCs w:val="0"/>
                <w:color w:val="auto"/>
                <w:sz w:val="24"/>
                <w:szCs w:val="24"/>
                <w:highlight w:val="none"/>
                <w:lang w:val="en-US" w:eastAsia="zh-CN"/>
              </w:rPr>
              <w:t>10</w:t>
            </w:r>
            <w:r>
              <w:rPr>
                <w:rFonts w:hint="eastAsia" w:ascii="仿宋_GB2312" w:hAnsi="仿宋_GB2312" w:eastAsia="仿宋_GB2312" w:cs="仿宋_GB2312"/>
                <w:b w:val="0"/>
                <w:bCs w:val="0"/>
                <w:color w:val="auto"/>
                <w:sz w:val="24"/>
                <w:szCs w:val="24"/>
                <w:highlight w:val="none"/>
              </w:rPr>
              <w:t>分；</w:t>
            </w:r>
          </w:p>
          <w:p w14:paraId="1C2EFE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（3）措施部分不全面、计划可行性一般，对采购需求的响应一般的，得</w:t>
            </w:r>
            <w:r>
              <w:rPr>
                <w:rFonts w:hint="eastAsia" w:ascii="仿宋_GB2312" w:hAnsi="仿宋_GB2312" w:eastAsia="仿宋_GB2312" w:cs="仿宋_GB2312"/>
                <w:b w:val="0"/>
                <w:bCs w:val="0"/>
                <w:color w:val="auto"/>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分；</w:t>
            </w:r>
          </w:p>
          <w:p w14:paraId="59C919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（4）措施不全面、计划可行性差，无法满足采购需求或未提供相关内容阐述的，得0分。</w:t>
            </w:r>
          </w:p>
        </w:tc>
      </w:tr>
      <w:tr w14:paraId="5E8ECA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79" w:hRule="atLeast"/>
        </w:trPr>
        <w:tc>
          <w:tcPr>
            <w:tcW w:w="1921" w:type="dxa"/>
            <w:tcBorders>
              <w:top w:val="single" w:color="auto" w:sz="4" w:space="0"/>
              <w:left w:val="single" w:color="auto" w:sz="4" w:space="0"/>
              <w:bottom w:val="single" w:color="auto" w:sz="4" w:space="0"/>
              <w:right w:val="single" w:color="auto" w:sz="4" w:space="0"/>
            </w:tcBorders>
            <w:vAlign w:val="center"/>
          </w:tcPr>
          <w:p w14:paraId="2BCF7604">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安全保密方案 (15.0分）</w:t>
            </w:r>
          </w:p>
        </w:tc>
        <w:tc>
          <w:tcPr>
            <w:tcW w:w="12253" w:type="dxa"/>
            <w:tcBorders>
              <w:top w:val="single" w:color="auto" w:sz="4" w:space="0"/>
              <w:left w:val="single" w:color="auto" w:sz="4" w:space="0"/>
              <w:bottom w:val="single" w:color="auto" w:sz="4" w:space="0"/>
              <w:right w:val="single" w:color="auto" w:sz="4" w:space="0"/>
            </w:tcBorders>
            <w:vAlign w:val="center"/>
          </w:tcPr>
          <w:p w14:paraId="6873CBB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根据供应商提供的安装验收措施（内容包括但不限于：保密制度建设、人员保密管理、数据安全防护）进行评审：</w:t>
            </w:r>
          </w:p>
          <w:p w14:paraId="72073B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（1）保密制度健全、管理措施全面具体，安全防护技术先进，完全满足事业单位考试保密要求的，得15分；</w:t>
            </w:r>
          </w:p>
          <w:p w14:paraId="365801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（2）保密制度较健全、管理措施较全面，安全防护措施较好，能较好满足采购需求及项目实施要求的，得10分；</w:t>
            </w:r>
          </w:p>
          <w:p w14:paraId="67B63C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（3）保密制度基本健全、管理措施一般，安全防护措施基本可行，对采购需求响应一般的，得5分；</w:t>
            </w:r>
          </w:p>
          <w:p w14:paraId="55ECD5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sz w:val="24"/>
                <w:szCs w:val="24"/>
                <w:highlight w:val="none"/>
                <w:lang w:val="en-US" w:eastAsia="zh-CN"/>
              </w:rPr>
              <w:t>（4）保密制度不健全、管理措施缺失，安全防护措施差，无法满足采购需求或未提供相关内容阐述的，得0分。</w:t>
            </w:r>
          </w:p>
        </w:tc>
      </w:tr>
      <w:tr w14:paraId="43E72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74" w:hRule="atLeast"/>
        </w:trPr>
        <w:tc>
          <w:tcPr>
            <w:tcW w:w="1921" w:type="dxa"/>
            <w:tcBorders>
              <w:top w:val="single" w:color="auto" w:sz="4" w:space="0"/>
              <w:left w:val="single" w:color="auto" w:sz="4" w:space="0"/>
              <w:bottom w:val="single" w:color="auto" w:sz="4" w:space="0"/>
              <w:right w:val="single" w:color="auto" w:sz="4" w:space="0"/>
            </w:tcBorders>
            <w:vAlign w:val="center"/>
          </w:tcPr>
          <w:p w14:paraId="75CA02A6">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 xml:space="preserve">应急处理预案 </w:t>
            </w:r>
          </w:p>
          <w:p w14:paraId="1567C429">
            <w:pPr>
              <w:keepNext w:val="0"/>
              <w:keepLines w:val="0"/>
              <w:pageBreakBefore w:val="0"/>
              <w:widowControl w:val="0"/>
              <w:kinsoku/>
              <w:wordWrap/>
              <w:overflowPunct/>
              <w:topLinePunct w:val="0"/>
              <w:autoSpaceDE/>
              <w:autoSpaceDN/>
              <w:bidi w:val="0"/>
              <w:snapToGrid/>
              <w:spacing w:line="240" w:lineRule="auto"/>
              <w:jc w:val="center"/>
              <w:textAlignment w:val="auto"/>
              <w:rPr>
                <w:rFonts w:hint="default"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val="0"/>
                <w:bCs w:val="0"/>
                <w:color w:val="auto"/>
                <w:kern w:val="2"/>
                <w:sz w:val="24"/>
                <w:szCs w:val="24"/>
                <w:highlight w:val="none"/>
                <w:lang w:val="en-US" w:eastAsia="zh-CN" w:bidi="ar-SA"/>
              </w:rPr>
              <w:t>(10.0分）</w:t>
            </w:r>
          </w:p>
        </w:tc>
        <w:tc>
          <w:tcPr>
            <w:tcW w:w="12253" w:type="dxa"/>
            <w:tcBorders>
              <w:top w:val="single" w:color="auto" w:sz="4" w:space="0"/>
              <w:left w:val="single" w:color="auto" w:sz="4" w:space="0"/>
              <w:bottom w:val="single" w:color="auto" w:sz="4" w:space="0"/>
              <w:right w:val="single" w:color="auto" w:sz="4" w:space="0"/>
            </w:tcBorders>
            <w:vAlign w:val="center"/>
          </w:tcPr>
          <w:p w14:paraId="587D4D82">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根据供应商提供的应急处理预案（内容包括但不限于：试卷运送与保管安全、考场秩序突发事件处置、考务人员缺岗替补）进行评审：</w:t>
            </w:r>
          </w:p>
          <w:p w14:paraId="6BEC5AFD">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（1）预案体系完整、应急响应流程清晰，处置措施具体可行，完全满足纸质考试组织实施要求的，得10分；</w:t>
            </w:r>
          </w:p>
          <w:p w14:paraId="1CC11BED">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（2）预案较完整、应急响应流程较清晰，处置措施较好，能较好满足采购需求及项目实施要求的，得7分；</w:t>
            </w:r>
          </w:p>
          <w:p w14:paraId="0927F904">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（3）预案基本完整、应急响应流程基本清晰，处置措施一般，对采购需求响应一般的，得4分；</w:t>
            </w:r>
          </w:p>
          <w:p w14:paraId="65D29EC0">
            <w:pPr>
              <w:pStyle w:val="2"/>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（4）预案不完整、应急响应流程混乱，处置措施缺失，无法满足采购需求或未提供相关内容阐述的，得0分。</w:t>
            </w:r>
          </w:p>
        </w:tc>
      </w:tr>
      <w:tr w14:paraId="6F4ED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4" w:hRule="atLeast"/>
        </w:trPr>
        <w:tc>
          <w:tcPr>
            <w:tcW w:w="14174" w:type="dxa"/>
            <w:gridSpan w:val="2"/>
            <w:tcBorders>
              <w:left w:val="single" w:color="auto" w:sz="4" w:space="0"/>
              <w:right w:val="single" w:color="auto" w:sz="4" w:space="0"/>
            </w:tcBorders>
            <w:vAlign w:val="center"/>
          </w:tcPr>
          <w:p w14:paraId="2D1D0F21">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仿宋_GB2312" w:hAnsi="仿宋_GB2312" w:eastAsia="仿宋_GB2312" w:cs="仿宋_GB2312"/>
                <w:b w:val="0"/>
                <w:bCs w:val="0"/>
                <w:color w:val="auto"/>
                <w:kern w:val="2"/>
                <w:sz w:val="24"/>
                <w:szCs w:val="24"/>
                <w:highlight w:val="none"/>
                <w:lang w:val="en-US" w:eastAsia="zh-CN" w:bidi="ar-SA"/>
              </w:rPr>
            </w:pPr>
            <w:r>
              <w:rPr>
                <w:rFonts w:hint="eastAsia" w:ascii="仿宋_GB2312" w:hAnsi="仿宋_GB2312" w:eastAsia="仿宋_GB2312" w:cs="仿宋_GB2312"/>
                <w:b/>
                <w:bCs/>
                <w:color w:val="auto"/>
                <w:sz w:val="32"/>
                <w:szCs w:val="32"/>
                <w:highlight w:val="none"/>
                <w:lang w:val="en-US" w:eastAsia="zh-CN"/>
              </w:rPr>
              <w:t>价格部分30.0分</w:t>
            </w:r>
          </w:p>
        </w:tc>
      </w:tr>
      <w:tr w14:paraId="7DA859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506" w:hRule="atLeast"/>
        </w:trPr>
        <w:tc>
          <w:tcPr>
            <w:tcW w:w="1921" w:type="dxa"/>
            <w:tcBorders>
              <w:top w:val="single" w:color="auto" w:sz="4" w:space="0"/>
              <w:left w:val="single" w:color="auto" w:sz="4" w:space="0"/>
              <w:bottom w:val="single" w:color="auto" w:sz="4" w:space="0"/>
              <w:right w:val="single" w:color="auto" w:sz="4" w:space="0"/>
            </w:tcBorders>
            <w:vAlign w:val="center"/>
          </w:tcPr>
          <w:p w14:paraId="5D308240">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价格</w:t>
            </w:r>
            <w:r>
              <w:rPr>
                <w:rFonts w:hint="eastAsia" w:ascii="仿宋_GB2312" w:hAnsi="仿宋_GB2312" w:eastAsia="仿宋_GB2312" w:cs="仿宋_GB2312"/>
                <w:b w:val="0"/>
                <w:bCs w:val="0"/>
                <w:color w:val="auto"/>
                <w:sz w:val="24"/>
                <w:szCs w:val="24"/>
                <w:highlight w:val="none"/>
              </w:rPr>
              <w:t xml:space="preserve">得分 </w:t>
            </w:r>
          </w:p>
          <w:p w14:paraId="2772EBB3">
            <w:pPr>
              <w:keepNext w:val="0"/>
              <w:keepLines w:val="0"/>
              <w:pageBreakBefore w:val="0"/>
              <w:widowControl w:val="0"/>
              <w:kinsoku/>
              <w:wordWrap/>
              <w:overflowPunct/>
              <w:topLinePunct w:val="0"/>
              <w:autoSpaceDE/>
              <w:autoSpaceDN/>
              <w:bidi w:val="0"/>
              <w:snapToGrid/>
              <w:spacing w:line="240" w:lineRule="auto"/>
              <w:jc w:val="center"/>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val="en-US" w:eastAsia="zh-CN"/>
              </w:rPr>
              <w:t>3</w:t>
            </w:r>
            <w:r>
              <w:rPr>
                <w:rFonts w:hint="eastAsia" w:ascii="仿宋_GB2312" w:hAnsi="仿宋_GB2312" w:eastAsia="仿宋_GB2312" w:cs="仿宋_GB2312"/>
                <w:b w:val="0"/>
                <w:bCs w:val="0"/>
                <w:color w:val="auto"/>
                <w:sz w:val="24"/>
                <w:szCs w:val="24"/>
                <w:highlight w:val="none"/>
              </w:rPr>
              <w:t>0.0分</w:t>
            </w:r>
            <w:r>
              <w:rPr>
                <w:rFonts w:hint="eastAsia" w:ascii="仿宋_GB2312" w:hAnsi="仿宋_GB2312" w:eastAsia="仿宋_GB2312" w:cs="仿宋_GB2312"/>
                <w:b w:val="0"/>
                <w:bCs w:val="0"/>
                <w:color w:val="auto"/>
                <w:sz w:val="24"/>
                <w:szCs w:val="24"/>
                <w:highlight w:val="none"/>
                <w:lang w:eastAsia="zh-CN"/>
              </w:rPr>
              <w:t>）</w:t>
            </w:r>
          </w:p>
        </w:tc>
        <w:tc>
          <w:tcPr>
            <w:tcW w:w="12253" w:type="dxa"/>
            <w:tcBorders>
              <w:top w:val="single" w:color="auto" w:sz="4" w:space="0"/>
              <w:left w:val="single" w:color="auto" w:sz="4" w:space="0"/>
              <w:bottom w:val="single" w:color="auto" w:sz="4" w:space="0"/>
              <w:right w:val="single" w:color="auto" w:sz="4" w:space="0"/>
            </w:tcBorders>
            <w:vAlign w:val="center"/>
          </w:tcPr>
          <w:p w14:paraId="43EDEA20">
            <w:pPr>
              <w:keepNext w:val="0"/>
              <w:keepLines w:val="0"/>
              <w:pageBreakBefore w:val="0"/>
              <w:widowControl w:val="0"/>
              <w:kinsoku/>
              <w:wordWrap/>
              <w:overflowPunct/>
              <w:topLinePunct w:val="0"/>
              <w:autoSpaceDE/>
              <w:autoSpaceDN/>
              <w:bidi w:val="0"/>
              <w:snapToGrid/>
              <w:spacing w:line="240" w:lineRule="auto"/>
              <w:jc w:val="left"/>
              <w:textAlignment w:val="auto"/>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报价</w:t>
            </w:r>
            <w:r>
              <w:rPr>
                <w:rFonts w:hint="eastAsia" w:ascii="仿宋_GB2312" w:hAnsi="仿宋_GB2312" w:eastAsia="仿宋_GB2312" w:cs="仿宋_GB2312"/>
                <w:b w:val="0"/>
                <w:bCs w:val="0"/>
                <w:color w:val="auto"/>
                <w:sz w:val="24"/>
                <w:szCs w:val="24"/>
                <w:highlight w:val="none"/>
                <w:lang w:val="en-US" w:eastAsia="zh-CN"/>
              </w:rPr>
              <w:t>价格</w:t>
            </w:r>
            <w:r>
              <w:rPr>
                <w:rFonts w:hint="eastAsia" w:ascii="仿宋_GB2312" w:hAnsi="仿宋_GB2312" w:eastAsia="仿宋_GB2312" w:cs="仿宋_GB2312"/>
                <w:b w:val="0"/>
                <w:bCs w:val="0"/>
                <w:color w:val="auto"/>
                <w:sz w:val="24"/>
                <w:szCs w:val="24"/>
                <w:highlight w:val="none"/>
              </w:rPr>
              <w:t>得分＝（评标基准价/投标报价）×价格分值【注：满足</w:t>
            </w:r>
            <w:r>
              <w:rPr>
                <w:rFonts w:hint="eastAsia" w:ascii="仿宋_GB2312" w:hAnsi="仿宋_GB2312" w:eastAsia="仿宋_GB2312" w:cs="仿宋_GB2312"/>
                <w:b w:val="0"/>
                <w:bCs w:val="0"/>
                <w:color w:val="auto"/>
                <w:sz w:val="24"/>
                <w:szCs w:val="24"/>
                <w:highlight w:val="none"/>
                <w:lang w:val="en-US" w:eastAsia="zh-CN"/>
              </w:rPr>
              <w:t>响应文件</w:t>
            </w:r>
            <w:r>
              <w:rPr>
                <w:rFonts w:hint="eastAsia" w:ascii="仿宋_GB2312" w:hAnsi="仿宋_GB2312" w:eastAsia="仿宋_GB2312" w:cs="仿宋_GB2312"/>
                <w:b w:val="0"/>
                <w:bCs w:val="0"/>
                <w:color w:val="auto"/>
                <w:sz w:val="24"/>
                <w:szCs w:val="24"/>
                <w:highlight w:val="none"/>
              </w:rPr>
              <w:t>要求且</w:t>
            </w:r>
            <w:r>
              <w:rPr>
                <w:rFonts w:hint="eastAsia" w:ascii="仿宋_GB2312" w:hAnsi="仿宋_GB2312" w:eastAsia="仿宋_GB2312" w:cs="仿宋_GB2312"/>
                <w:b w:val="0"/>
                <w:bCs w:val="0"/>
                <w:color w:val="auto"/>
                <w:sz w:val="24"/>
                <w:szCs w:val="24"/>
                <w:highlight w:val="none"/>
                <w:lang w:val="en-US" w:eastAsia="zh-CN"/>
              </w:rPr>
              <w:t>以</w:t>
            </w:r>
            <w:r>
              <w:rPr>
                <w:rFonts w:hint="eastAsia" w:ascii="仿宋_GB2312" w:hAnsi="仿宋_GB2312" w:eastAsia="仿宋_GB2312" w:cs="仿宋_GB2312"/>
                <w:b w:val="0"/>
                <w:bCs w:val="0"/>
                <w:color w:val="auto"/>
                <w:sz w:val="24"/>
                <w:szCs w:val="24"/>
                <w:highlight w:val="none"/>
              </w:rPr>
              <w:t>最低的</w:t>
            </w:r>
            <w:r>
              <w:rPr>
                <w:rFonts w:hint="eastAsia" w:ascii="仿宋_GB2312" w:hAnsi="仿宋_GB2312" w:eastAsia="仿宋_GB2312" w:cs="仿宋_GB2312"/>
                <w:b w:val="0"/>
                <w:bCs w:val="0"/>
                <w:color w:val="auto"/>
                <w:sz w:val="24"/>
                <w:szCs w:val="24"/>
                <w:highlight w:val="none"/>
                <w:lang w:val="en-US" w:eastAsia="zh-CN"/>
              </w:rPr>
              <w:t>比选</w:t>
            </w:r>
            <w:r>
              <w:rPr>
                <w:rFonts w:hint="eastAsia" w:ascii="仿宋_GB2312" w:hAnsi="仿宋_GB2312" w:eastAsia="仿宋_GB2312" w:cs="仿宋_GB2312"/>
                <w:b w:val="0"/>
                <w:bCs w:val="0"/>
                <w:color w:val="auto"/>
                <w:sz w:val="24"/>
                <w:szCs w:val="24"/>
                <w:highlight w:val="none"/>
              </w:rPr>
              <w:t>报价为</w:t>
            </w:r>
            <w:r>
              <w:rPr>
                <w:rFonts w:hint="eastAsia" w:ascii="仿宋_GB2312" w:hAnsi="仿宋_GB2312" w:eastAsia="仿宋_GB2312" w:cs="仿宋_GB2312"/>
                <w:b w:val="0"/>
                <w:bCs w:val="0"/>
                <w:color w:val="auto"/>
                <w:sz w:val="24"/>
                <w:szCs w:val="24"/>
                <w:highlight w:val="none"/>
                <w:lang w:val="en-US" w:eastAsia="zh-CN"/>
              </w:rPr>
              <w:t>评审</w:t>
            </w:r>
            <w:r>
              <w:rPr>
                <w:rFonts w:hint="eastAsia" w:ascii="仿宋_GB2312" w:hAnsi="仿宋_GB2312" w:eastAsia="仿宋_GB2312" w:cs="仿宋_GB2312"/>
                <w:b w:val="0"/>
                <w:bCs w:val="0"/>
                <w:color w:val="auto"/>
                <w:sz w:val="24"/>
                <w:szCs w:val="24"/>
                <w:highlight w:val="none"/>
              </w:rPr>
              <w:t>基准价</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rPr>
              <w:t>最低报价不是</w:t>
            </w:r>
            <w:r>
              <w:rPr>
                <w:rFonts w:hint="eastAsia" w:ascii="仿宋_GB2312" w:hAnsi="仿宋_GB2312" w:eastAsia="仿宋_GB2312" w:cs="仿宋_GB2312"/>
                <w:b w:val="0"/>
                <w:bCs w:val="0"/>
                <w:color w:val="auto"/>
                <w:sz w:val="24"/>
                <w:szCs w:val="24"/>
                <w:highlight w:val="none"/>
                <w:lang w:val="en-US" w:eastAsia="zh-CN"/>
              </w:rPr>
              <w:t>中选</w:t>
            </w:r>
            <w:r>
              <w:rPr>
                <w:rFonts w:hint="eastAsia" w:ascii="仿宋_GB2312" w:hAnsi="仿宋_GB2312" w:eastAsia="仿宋_GB2312" w:cs="仿宋_GB2312"/>
                <w:b w:val="0"/>
                <w:bCs w:val="0"/>
                <w:color w:val="auto"/>
                <w:sz w:val="24"/>
                <w:szCs w:val="24"/>
                <w:highlight w:val="none"/>
              </w:rPr>
              <w:t>的唯一依据。因落实政府采购政策进行价格调整的，以调整后的价格计算</w:t>
            </w:r>
            <w:r>
              <w:rPr>
                <w:rFonts w:hint="eastAsia" w:ascii="仿宋_GB2312" w:hAnsi="仿宋_GB2312" w:eastAsia="仿宋_GB2312" w:cs="仿宋_GB2312"/>
                <w:b w:val="0"/>
                <w:bCs w:val="0"/>
                <w:color w:val="auto"/>
                <w:sz w:val="24"/>
                <w:szCs w:val="24"/>
                <w:highlight w:val="none"/>
                <w:lang w:val="en-US" w:eastAsia="zh-CN"/>
              </w:rPr>
              <w:t>评审</w:t>
            </w:r>
            <w:r>
              <w:rPr>
                <w:rFonts w:hint="eastAsia" w:ascii="仿宋_GB2312" w:hAnsi="仿宋_GB2312" w:eastAsia="仿宋_GB2312" w:cs="仿宋_GB2312"/>
                <w:b w:val="0"/>
                <w:bCs w:val="0"/>
                <w:color w:val="auto"/>
                <w:sz w:val="24"/>
                <w:szCs w:val="24"/>
                <w:highlight w:val="none"/>
              </w:rPr>
              <w:t>基准价和</w:t>
            </w:r>
            <w:r>
              <w:rPr>
                <w:rFonts w:hint="eastAsia" w:ascii="仿宋_GB2312" w:hAnsi="仿宋_GB2312" w:eastAsia="仿宋_GB2312" w:cs="仿宋_GB2312"/>
                <w:b w:val="0"/>
                <w:bCs w:val="0"/>
                <w:color w:val="auto"/>
                <w:sz w:val="24"/>
                <w:szCs w:val="24"/>
                <w:highlight w:val="none"/>
                <w:lang w:val="en-US" w:eastAsia="zh-CN"/>
              </w:rPr>
              <w:t>比选</w:t>
            </w:r>
            <w:r>
              <w:rPr>
                <w:rFonts w:hint="eastAsia" w:ascii="仿宋_GB2312" w:hAnsi="仿宋_GB2312" w:eastAsia="仿宋_GB2312" w:cs="仿宋_GB2312"/>
                <w:b w:val="0"/>
                <w:bCs w:val="0"/>
                <w:color w:val="auto"/>
                <w:sz w:val="24"/>
                <w:szCs w:val="24"/>
                <w:highlight w:val="none"/>
              </w:rPr>
              <w:t>报价。</w:t>
            </w:r>
          </w:p>
        </w:tc>
      </w:tr>
    </w:tbl>
    <w:p w14:paraId="38E59832">
      <w:pPr>
        <w:pStyle w:val="2"/>
        <w:rPr>
          <w:rFonts w:hint="eastAsia"/>
          <w:highlight w:val="none"/>
        </w:rPr>
      </w:pPr>
    </w:p>
    <w:bookmarkEnd w:id="3"/>
    <w:sectPr>
      <w:pgSz w:w="16838" w:h="11906" w:orient="landscape"/>
      <w:pgMar w:top="1349" w:right="1440" w:bottom="1349"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公文小标宋简">
    <w:altName w:val="宋体"/>
    <w:panose1 w:val="0201060901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9993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D1F8E">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BD1F8E">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A91E0B"/>
    <w:multiLevelType w:val="singleLevel"/>
    <w:tmpl w:val="40A91E0B"/>
    <w:lvl w:ilvl="0" w:tentative="0">
      <w:start w:val="1"/>
      <w:numFmt w:val="decimal"/>
      <w:suff w:val="nothing"/>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NmYmY4ODljZjQ3OGE1ODBhZDFiM2U4NzUxZTk3YzcifQ=="/>
  </w:docVars>
  <w:rsids>
    <w:rsidRoot w:val="00A85F75"/>
    <w:rsid w:val="0002784C"/>
    <w:rsid w:val="00030D58"/>
    <w:rsid w:val="00043D55"/>
    <w:rsid w:val="00050D1A"/>
    <w:rsid w:val="000701F3"/>
    <w:rsid w:val="00077EA2"/>
    <w:rsid w:val="000A447B"/>
    <w:rsid w:val="000A65FB"/>
    <w:rsid w:val="000C4530"/>
    <w:rsid w:val="001116A7"/>
    <w:rsid w:val="001E53E3"/>
    <w:rsid w:val="00251D9A"/>
    <w:rsid w:val="00255585"/>
    <w:rsid w:val="00287C81"/>
    <w:rsid w:val="002E1809"/>
    <w:rsid w:val="00304751"/>
    <w:rsid w:val="00352184"/>
    <w:rsid w:val="0036102B"/>
    <w:rsid w:val="0036400A"/>
    <w:rsid w:val="003A4AFB"/>
    <w:rsid w:val="003C264E"/>
    <w:rsid w:val="003C4BA5"/>
    <w:rsid w:val="003D6D41"/>
    <w:rsid w:val="0041411F"/>
    <w:rsid w:val="004218AD"/>
    <w:rsid w:val="0042225C"/>
    <w:rsid w:val="0044261C"/>
    <w:rsid w:val="00464AB3"/>
    <w:rsid w:val="004A6FE4"/>
    <w:rsid w:val="004B5940"/>
    <w:rsid w:val="004D680E"/>
    <w:rsid w:val="004E2118"/>
    <w:rsid w:val="005340F0"/>
    <w:rsid w:val="0053556C"/>
    <w:rsid w:val="0056100D"/>
    <w:rsid w:val="005B32FF"/>
    <w:rsid w:val="00602B48"/>
    <w:rsid w:val="006168CB"/>
    <w:rsid w:val="00657C6B"/>
    <w:rsid w:val="00674A2F"/>
    <w:rsid w:val="006854E0"/>
    <w:rsid w:val="006B7E48"/>
    <w:rsid w:val="006E5F57"/>
    <w:rsid w:val="00701987"/>
    <w:rsid w:val="00794D00"/>
    <w:rsid w:val="007B6539"/>
    <w:rsid w:val="007C4E8E"/>
    <w:rsid w:val="007D7973"/>
    <w:rsid w:val="007E0812"/>
    <w:rsid w:val="00835D91"/>
    <w:rsid w:val="00840D19"/>
    <w:rsid w:val="00840FA7"/>
    <w:rsid w:val="008433BF"/>
    <w:rsid w:val="00845879"/>
    <w:rsid w:val="00855E7B"/>
    <w:rsid w:val="00874659"/>
    <w:rsid w:val="008B51DE"/>
    <w:rsid w:val="008C76A9"/>
    <w:rsid w:val="008D067B"/>
    <w:rsid w:val="008E552E"/>
    <w:rsid w:val="008F46E7"/>
    <w:rsid w:val="00971B37"/>
    <w:rsid w:val="00993A31"/>
    <w:rsid w:val="009C0E18"/>
    <w:rsid w:val="009F6853"/>
    <w:rsid w:val="00A076FF"/>
    <w:rsid w:val="00A35CE4"/>
    <w:rsid w:val="00A85F75"/>
    <w:rsid w:val="00AB5257"/>
    <w:rsid w:val="00AC3447"/>
    <w:rsid w:val="00AD381A"/>
    <w:rsid w:val="00AE6F9B"/>
    <w:rsid w:val="00AF5E01"/>
    <w:rsid w:val="00B20860"/>
    <w:rsid w:val="00B43525"/>
    <w:rsid w:val="00B44EDF"/>
    <w:rsid w:val="00B93B68"/>
    <w:rsid w:val="00BB5246"/>
    <w:rsid w:val="00BD0B2F"/>
    <w:rsid w:val="00C77E02"/>
    <w:rsid w:val="00C94FEB"/>
    <w:rsid w:val="00CA3E55"/>
    <w:rsid w:val="00CB0F7D"/>
    <w:rsid w:val="00CC159D"/>
    <w:rsid w:val="00CE1262"/>
    <w:rsid w:val="00CE1C51"/>
    <w:rsid w:val="00CF2AAA"/>
    <w:rsid w:val="00D54CD4"/>
    <w:rsid w:val="00D860E4"/>
    <w:rsid w:val="00DD45D7"/>
    <w:rsid w:val="00E26BE5"/>
    <w:rsid w:val="00F36DBE"/>
    <w:rsid w:val="00F432D2"/>
    <w:rsid w:val="00F45780"/>
    <w:rsid w:val="00F55670"/>
    <w:rsid w:val="00F80B9D"/>
    <w:rsid w:val="00F844B9"/>
    <w:rsid w:val="00F862F8"/>
    <w:rsid w:val="00FC7DC3"/>
    <w:rsid w:val="00FE2208"/>
    <w:rsid w:val="00FF2BAC"/>
    <w:rsid w:val="015D3565"/>
    <w:rsid w:val="02A1135A"/>
    <w:rsid w:val="05422784"/>
    <w:rsid w:val="058B2825"/>
    <w:rsid w:val="069F1FBB"/>
    <w:rsid w:val="06A12E14"/>
    <w:rsid w:val="0A5E29B8"/>
    <w:rsid w:val="0A85585F"/>
    <w:rsid w:val="0AB31FD7"/>
    <w:rsid w:val="0EE83204"/>
    <w:rsid w:val="0F6D244F"/>
    <w:rsid w:val="0F8F1C77"/>
    <w:rsid w:val="11FD1823"/>
    <w:rsid w:val="12D83C76"/>
    <w:rsid w:val="13FF250B"/>
    <w:rsid w:val="16521C1B"/>
    <w:rsid w:val="16A173E1"/>
    <w:rsid w:val="17B92765"/>
    <w:rsid w:val="17EF7E50"/>
    <w:rsid w:val="18755A35"/>
    <w:rsid w:val="1ADD759A"/>
    <w:rsid w:val="1AEC3A17"/>
    <w:rsid w:val="1C152C36"/>
    <w:rsid w:val="1D7031FC"/>
    <w:rsid w:val="1F3E30E3"/>
    <w:rsid w:val="21013E9F"/>
    <w:rsid w:val="236478FC"/>
    <w:rsid w:val="24881FC9"/>
    <w:rsid w:val="28C43FEE"/>
    <w:rsid w:val="2AE603CB"/>
    <w:rsid w:val="2B163855"/>
    <w:rsid w:val="2C955AC5"/>
    <w:rsid w:val="2D753F0F"/>
    <w:rsid w:val="2D8A4776"/>
    <w:rsid w:val="2E206AF3"/>
    <w:rsid w:val="2E814957"/>
    <w:rsid w:val="2E82024D"/>
    <w:rsid w:val="2E9A4AF0"/>
    <w:rsid w:val="2F2A210A"/>
    <w:rsid w:val="30000F2B"/>
    <w:rsid w:val="3205221E"/>
    <w:rsid w:val="32702889"/>
    <w:rsid w:val="337D752A"/>
    <w:rsid w:val="38561458"/>
    <w:rsid w:val="39670754"/>
    <w:rsid w:val="3BE30D92"/>
    <w:rsid w:val="3CBA4783"/>
    <w:rsid w:val="3CED5545"/>
    <w:rsid w:val="3E756514"/>
    <w:rsid w:val="40073B18"/>
    <w:rsid w:val="41B75D55"/>
    <w:rsid w:val="43055D5C"/>
    <w:rsid w:val="432D3BD3"/>
    <w:rsid w:val="434F7129"/>
    <w:rsid w:val="43DD3F93"/>
    <w:rsid w:val="43EE1D89"/>
    <w:rsid w:val="45392D30"/>
    <w:rsid w:val="469314DC"/>
    <w:rsid w:val="47C31EA7"/>
    <w:rsid w:val="49A512CC"/>
    <w:rsid w:val="4ACE1580"/>
    <w:rsid w:val="4C4D4D21"/>
    <w:rsid w:val="4CFD68A8"/>
    <w:rsid w:val="4D1434A7"/>
    <w:rsid w:val="4DC235F4"/>
    <w:rsid w:val="4DEE43C4"/>
    <w:rsid w:val="4E0B51CF"/>
    <w:rsid w:val="50087C10"/>
    <w:rsid w:val="5058329B"/>
    <w:rsid w:val="542F0C5D"/>
    <w:rsid w:val="562170AD"/>
    <w:rsid w:val="56F272FF"/>
    <w:rsid w:val="57954ABA"/>
    <w:rsid w:val="57A55496"/>
    <w:rsid w:val="57E713DE"/>
    <w:rsid w:val="59DA72D7"/>
    <w:rsid w:val="5B800BF1"/>
    <w:rsid w:val="5D565E38"/>
    <w:rsid w:val="5EBB5F7B"/>
    <w:rsid w:val="6038522C"/>
    <w:rsid w:val="61BA59B7"/>
    <w:rsid w:val="638C00C7"/>
    <w:rsid w:val="63EA24B4"/>
    <w:rsid w:val="645D0170"/>
    <w:rsid w:val="655F1258"/>
    <w:rsid w:val="66367EC9"/>
    <w:rsid w:val="6639449D"/>
    <w:rsid w:val="675E561B"/>
    <w:rsid w:val="67690014"/>
    <w:rsid w:val="67F27734"/>
    <w:rsid w:val="687277D9"/>
    <w:rsid w:val="69CB3EC3"/>
    <w:rsid w:val="6A8E53EC"/>
    <w:rsid w:val="6B186A52"/>
    <w:rsid w:val="6BB77A32"/>
    <w:rsid w:val="6F0A08FB"/>
    <w:rsid w:val="6F2165AA"/>
    <w:rsid w:val="70D519F5"/>
    <w:rsid w:val="70E70CEA"/>
    <w:rsid w:val="7189026B"/>
    <w:rsid w:val="7213775D"/>
    <w:rsid w:val="72F0108F"/>
    <w:rsid w:val="745D7725"/>
    <w:rsid w:val="772C7C40"/>
    <w:rsid w:val="79B24D28"/>
    <w:rsid w:val="79D85336"/>
    <w:rsid w:val="7AEF5E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style>
  <w:style w:type="paragraph" w:styleId="3">
    <w:name w:val="toc 5"/>
    <w:basedOn w:val="1"/>
    <w:next w:val="1"/>
    <w:autoRedefine/>
    <w:qFormat/>
    <w:uiPriority w:val="0"/>
    <w:pPr>
      <w:widowControl w:val="0"/>
      <w:ind w:left="1680" w:leftChars="800"/>
      <w:jc w:val="both"/>
    </w:pPr>
    <w:rPr>
      <w:kern w:val="2"/>
      <w:szCs w:val="24"/>
    </w:rPr>
  </w:style>
  <w:style w:type="paragraph" w:styleId="4">
    <w:name w:val="Date"/>
    <w:basedOn w:val="1"/>
    <w:next w:val="1"/>
    <w:link w:val="15"/>
    <w:autoRedefine/>
    <w:semiHidden/>
    <w:unhideWhenUsed/>
    <w:qFormat/>
    <w:uiPriority w:val="99"/>
    <w:pPr>
      <w:ind w:left="100" w:leftChars="2500"/>
    </w:pPr>
  </w:style>
  <w:style w:type="paragraph" w:styleId="5">
    <w:name w:val="footer"/>
    <w:basedOn w:val="1"/>
    <w:link w:val="14"/>
    <w:autoRedefine/>
    <w:semiHidden/>
    <w:unhideWhenUsed/>
    <w:qFormat/>
    <w:uiPriority w:val="99"/>
    <w:pPr>
      <w:tabs>
        <w:tab w:val="center" w:pos="4153"/>
        <w:tab w:val="right" w:pos="8306"/>
      </w:tabs>
      <w:snapToGrid w:val="0"/>
      <w:jc w:val="left"/>
    </w:pPr>
    <w:rPr>
      <w:sz w:val="18"/>
      <w:szCs w:val="18"/>
    </w:rPr>
  </w:style>
  <w:style w:type="paragraph" w:styleId="6">
    <w:name w:val="header"/>
    <w:basedOn w:val="1"/>
    <w:link w:val="13"/>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9">
    <w:name w:val="Table Grid"/>
    <w:basedOn w:val="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Hyperlink"/>
    <w:basedOn w:val="10"/>
    <w:autoRedefine/>
    <w:unhideWhenUsed/>
    <w:qFormat/>
    <w:uiPriority w:val="99"/>
    <w:rPr>
      <w:color w:val="0000FF" w:themeColor="hyperlink"/>
      <w:u w:val="single"/>
      <w14:textFill>
        <w14:solidFill>
          <w14:schemeClr w14:val="hlink"/>
        </w14:solidFill>
      </w14:textFill>
    </w:rPr>
  </w:style>
  <w:style w:type="paragraph" w:styleId="12">
    <w:name w:val="List Paragraph"/>
    <w:basedOn w:val="1"/>
    <w:autoRedefine/>
    <w:qFormat/>
    <w:uiPriority w:val="34"/>
    <w:pPr>
      <w:ind w:firstLine="420" w:firstLineChars="200"/>
    </w:pPr>
  </w:style>
  <w:style w:type="character" w:customStyle="1" w:styleId="13">
    <w:name w:val="页眉 Char"/>
    <w:basedOn w:val="10"/>
    <w:link w:val="6"/>
    <w:autoRedefine/>
    <w:semiHidden/>
    <w:qFormat/>
    <w:uiPriority w:val="99"/>
    <w:rPr>
      <w:sz w:val="18"/>
      <w:szCs w:val="18"/>
    </w:rPr>
  </w:style>
  <w:style w:type="character" w:customStyle="1" w:styleId="14">
    <w:name w:val="页脚 Char"/>
    <w:basedOn w:val="10"/>
    <w:link w:val="5"/>
    <w:autoRedefine/>
    <w:semiHidden/>
    <w:qFormat/>
    <w:uiPriority w:val="99"/>
    <w:rPr>
      <w:sz w:val="18"/>
      <w:szCs w:val="18"/>
    </w:rPr>
  </w:style>
  <w:style w:type="character" w:customStyle="1" w:styleId="15">
    <w:name w:val="日期 Char"/>
    <w:basedOn w:val="10"/>
    <w:link w:val="4"/>
    <w:autoRedefine/>
    <w:semiHidden/>
    <w:qFormat/>
    <w:uiPriority w:val="99"/>
  </w:style>
  <w:style w:type="paragraph" w:customStyle="1" w:styleId="16">
    <w:name w:val="reader-word-layer"/>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3BEA6C41</paraID>
      <start>12</start>
      <end>13</end>
      <status>unmodified</status>
      <modifiedWord/>
      <trackRevisions>false</trackRevisions>
    </reviewItem>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54E4F1DD</paraID>
      <start>17</start>
      <end>18</end>
      <status>unmodified</status>
      <modifiedWord/>
      <trackRevisions>false</trackRevisions>
    </reviewItem>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6E9F6D4D</paraID>
      <start>15</start>
      <end>16</end>
      <status>unmodified</status>
      <modifiedWord/>
      <trackRevisions>false</trackRevisions>
    </reviewItem>
    <reviewItem>
      <errorID/>
      <errorWord>0%-100%</errorWord>
      <group>L1_Knowledge</group>
      <groupName>知识性问题</groupName>
      <ability>L2_Knowledge</ability>
      <abilityName>其他知识</abilityName>
      <candidateList>
        <item>0%—100%</item>
      </candidateList>
      <explain>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542A3120</paraID>
      <start>23</start>
      <end>30</end>
      <status>unmodified</status>
      <modifiedWord/>
      <trackRevisions>false</trackRevisions>
    </reviewItem>
    <reviewItem>
      <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5B0AF741</paraID>
      <start>17</start>
      <end>18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 D985015</paraID>
      <start>7</start>
      <end>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70333C2C</paraID>
      <start>6</start>
      <end>7</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4671559D</paraID>
      <start>7</start>
      <end>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12DA1C30</paraID>
      <start>6</start>
      <end>7</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2BCF7604</paraID>
      <start>7</start>
      <end>8</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1567C429</paraID>
      <start>6</start>
      <end>7</end>
      <status>unmodified</status>
      <modifiedWord/>
      <trackRevisions>false</trackRevisions>
    </reviewItem>
    <reviewItem>
      <errorID/>
      <errorWord>）</errorWord>
      <group>L1_Format</group>
      <groupName>格式问题</groupName>
      <ability>L2_HalfPunc</ability>
      <abilityName>全半角检查</abilityName>
      <candidateList>
        <item>)</item>
      </candidateList>
      <explain>文本全半角错误。</explain>
      <paraID>2772EBB3</paraID>
      <start>6</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206b42-7c5d-4c71-b6bd-6efb922934b5}">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1827</Words>
  <Characters>1885</Characters>
  <Lines>4</Lines>
  <Paragraphs>1</Paragraphs>
  <TotalTime>8</TotalTime>
  <ScaleCrop>false</ScaleCrop>
  <LinksUpToDate>false</LinksUpToDate>
  <CharactersWithSpaces>1943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2015-09-07T02:11:00Z</dcterms:created>
  <dc:creator>微软用户</dc:creator>
  <cp:lastModifiedBy>何梓乐</cp:lastModifiedBy>
  <cp:lastPrinted>2024-05-29T04:00:00Z</cp:lastPrinted>
  <dcterms:modified xsi:type="dcterms:W3CDTF">2026-08-20T00:50:20Z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DE53CEBC89CB4C72AA80251CAEAA3EBA_13</vt:lpwstr>
  </property>
  <property fmtid="{D5CDD505-2E9C-101B-9397-08002B2CF9AE}" pid="4" name="KSOTemplateDocerSaveRecord">
    <vt:lpwstr>eyJoZGlkIjoiNDNmYmY4ODljZjQ3OGE1ODBhZDFiM2U4NzUxZTk3YzciLCJ1c2VySWQiOiIyMzczMjQwMjIifQ==</vt:lpwstr>
  </property>
</Properties>
</file>