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5341D">
      <w:pPr>
        <w:keepNext/>
        <w:keepLines/>
        <w:pageBreakBefore w:val="0"/>
        <w:widowControl/>
        <w:kinsoku/>
        <w:wordWrap/>
        <w:overflowPunct/>
        <w:topLinePunct w:val="0"/>
        <w:autoSpaceDE/>
        <w:autoSpaceDN/>
        <w:bidi w:val="0"/>
        <w:adjustRightInd/>
        <w:snapToGrid/>
        <w:jc w:val="center"/>
        <w:textAlignment w:val="auto"/>
        <w:rPr>
          <w:rFonts w:ascii="Calibri" w:hAnsi="Calibri" w:eastAsia="宋体" w:cs="Times New Roman"/>
          <w:color w:val="auto"/>
          <w:highlight w:val="none"/>
        </w:rPr>
      </w:pPr>
      <w:r>
        <w:rPr>
          <w:rFonts w:ascii="Calibri" w:hAnsi="Calibri" w:eastAsia="宋体" w:cs="Times New Roman"/>
          <w:b/>
          <w:color w:val="auto"/>
          <w:sz w:val="36"/>
          <w:highlight w:val="none"/>
        </w:rPr>
        <w:t>采购需求</w:t>
      </w:r>
    </w:p>
    <w:p w14:paraId="053A02BD">
      <w:pPr>
        <w:keepNext/>
        <w:keepLines/>
        <w:pageBreakBefore w:val="0"/>
        <w:widowControl/>
        <w:kinsoku/>
        <w:wordWrap/>
        <w:overflowPunct/>
        <w:topLinePunct w:val="0"/>
        <w:autoSpaceDE/>
        <w:autoSpaceDN/>
        <w:bidi w:val="0"/>
        <w:adjustRightInd/>
        <w:snapToGrid/>
        <w:spacing w:line="240" w:lineRule="auto"/>
        <w:textAlignment w:val="auto"/>
        <w:rPr>
          <w:rFonts w:ascii="Calibri" w:hAnsi="Calibri" w:eastAsia="宋体" w:cs="Times New Roman"/>
          <w:b/>
          <w:color w:val="auto"/>
          <w:sz w:val="28"/>
          <w:highlight w:val="none"/>
        </w:rPr>
      </w:pPr>
      <w:r>
        <w:rPr>
          <w:rFonts w:ascii="Calibri" w:hAnsi="Calibri" w:eastAsia="宋体" w:cs="Times New Roman"/>
          <w:b/>
          <w:color w:val="auto"/>
          <w:sz w:val="28"/>
          <w:highlight w:val="none"/>
        </w:rPr>
        <w:t>一、项目概况：</w:t>
      </w:r>
    </w:p>
    <w:p w14:paraId="40CBBD78">
      <w:pPr>
        <w:keepNext/>
        <w:keepLines/>
        <w:pageBreakBefore w:val="0"/>
        <w:widowControl/>
        <w:kinsoku/>
        <w:wordWrap/>
        <w:overflowPunct/>
        <w:topLinePunct w:val="0"/>
        <w:autoSpaceDE/>
        <w:autoSpaceDN/>
        <w:bidi w:val="0"/>
        <w:adjustRightInd/>
        <w:snapToGrid/>
        <w:spacing w:line="240" w:lineRule="auto"/>
        <w:ind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1.项目内容：中山市南朗医院</w:t>
      </w:r>
      <w:r>
        <w:rPr>
          <w:rFonts w:hint="eastAsia" w:ascii="宋体" w:hAnsi="宋体" w:eastAsia="宋体" w:cs="Times New Roman"/>
          <w:color w:val="auto"/>
          <w:szCs w:val="21"/>
          <w:highlight w:val="none"/>
          <w:lang w:val="en-US" w:eastAsia="zh-CN"/>
        </w:rPr>
        <w:t>2027年-2029年</w:t>
      </w:r>
      <w:r>
        <w:rPr>
          <w:rFonts w:hint="eastAsia" w:ascii="宋体" w:hAnsi="宋体" w:eastAsia="宋体" w:cs="Times New Roman"/>
          <w:color w:val="auto"/>
          <w:szCs w:val="21"/>
          <w:highlight w:val="none"/>
          <w:lang w:eastAsia="zh-CN"/>
        </w:rPr>
        <w:t>洗涤外包服务项目。</w:t>
      </w:r>
    </w:p>
    <w:p w14:paraId="3F5C9C20">
      <w:pPr>
        <w:keepNext/>
        <w:keepLines/>
        <w:pageBreakBefore w:val="0"/>
        <w:widowControl/>
        <w:kinsoku/>
        <w:wordWrap/>
        <w:overflowPunct/>
        <w:topLinePunct w:val="0"/>
        <w:autoSpaceDE/>
        <w:autoSpaceDN/>
        <w:bidi w:val="0"/>
        <w:adjustRightInd/>
        <w:snapToGrid/>
        <w:spacing w:line="240" w:lineRule="auto"/>
        <w:ind w:firstLine="420" w:firstLineChars="200"/>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2.预算金额:928456.32元/两年</w:t>
      </w:r>
    </w:p>
    <w:p w14:paraId="6E4E547C">
      <w:pPr>
        <w:keepNext/>
        <w:keepLines/>
        <w:pageBreakBefore w:val="0"/>
        <w:widowControl/>
        <w:kinsoku/>
        <w:wordWrap/>
        <w:overflowPunct/>
        <w:topLinePunct w:val="0"/>
        <w:autoSpaceDE/>
        <w:autoSpaceDN/>
        <w:bidi w:val="0"/>
        <w:adjustRightInd/>
        <w:snapToGrid/>
        <w:spacing w:line="240" w:lineRule="auto"/>
        <w:ind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lang w:eastAsia="zh-CN"/>
        </w:rPr>
        <w:t>.服务期限：自合同生效之日起2年，具体以合同签订时间为准。若合同履行期间采购人支付金额累计达到采购预算金额，本合同随之终止。</w:t>
      </w:r>
    </w:p>
    <w:p w14:paraId="2D6C6055">
      <w:pPr>
        <w:keepNext/>
        <w:keepLines/>
        <w:pageBreakBefore w:val="0"/>
        <w:widowControl/>
        <w:kinsoku/>
        <w:wordWrap/>
        <w:overflowPunct/>
        <w:topLinePunct w:val="0"/>
        <w:autoSpaceDE/>
        <w:autoSpaceDN/>
        <w:bidi w:val="0"/>
        <w:adjustRightInd/>
        <w:snapToGrid/>
        <w:spacing w:line="240" w:lineRule="auto"/>
        <w:ind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lang w:eastAsia="zh-CN"/>
        </w:rPr>
        <w:t>.本项目以单价的形式进行报价（即对每完成一件洗涤物品的收集、清洗、消毒、烘干、整烫、缝补及接送进行报价），上限价为人民币1.3</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lang w:eastAsia="zh-CN"/>
        </w:rPr>
        <w:t>元/件，投标人所报的单价不得高于上限价，否则视为无效投标。</w:t>
      </w:r>
    </w:p>
    <w:p w14:paraId="0E246E2D">
      <w:pPr>
        <w:keepNext/>
        <w:keepLines/>
        <w:pageBreakBefore w:val="0"/>
        <w:widowControl/>
        <w:kinsoku/>
        <w:wordWrap/>
        <w:overflowPunct/>
        <w:topLinePunct w:val="0"/>
        <w:autoSpaceDE/>
        <w:autoSpaceDN/>
        <w:bidi w:val="0"/>
        <w:adjustRightInd/>
        <w:snapToGrid/>
        <w:spacing w:line="240" w:lineRule="auto"/>
        <w:ind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lang w:eastAsia="zh-CN"/>
        </w:rPr>
        <w:t>.采用全包干的方式承包，由中标人承包及负责招标文件对中标人要求的一切事宜及责任，中标人工作人员的福利、工伤赔偿等由中标人负责，与采购人无关。</w:t>
      </w:r>
    </w:p>
    <w:p w14:paraId="19F273D5">
      <w:pPr>
        <w:keepNext/>
        <w:keepLines/>
        <w:pageBreakBefore w:val="0"/>
        <w:widowControl/>
        <w:kinsoku/>
        <w:wordWrap/>
        <w:overflowPunct/>
        <w:topLinePunct w:val="0"/>
        <w:autoSpaceDE/>
        <w:autoSpaceDN/>
        <w:bidi w:val="0"/>
        <w:adjustRightInd/>
        <w:snapToGrid/>
        <w:spacing w:line="240" w:lineRule="auto"/>
        <w:ind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lang w:eastAsia="zh-CN"/>
        </w:rPr>
        <w:t>.中标人不得擅自终止服务，如因中标人原因擅自终止服务的，采购人有权扣除上个月洗涤费并终止合同。</w:t>
      </w:r>
    </w:p>
    <w:p w14:paraId="6BC8F1F7">
      <w:pPr>
        <w:keepNext/>
        <w:keepLines/>
        <w:pageBreakBefore w:val="0"/>
        <w:widowControl/>
        <w:kinsoku/>
        <w:wordWrap/>
        <w:overflowPunct/>
        <w:topLinePunct w:val="0"/>
        <w:autoSpaceDE/>
        <w:autoSpaceDN/>
        <w:bidi w:val="0"/>
        <w:adjustRightInd/>
        <w:snapToGrid/>
        <w:spacing w:line="240" w:lineRule="auto"/>
        <w:ind w:firstLine="422" w:firstLineChars="200"/>
        <w:rPr>
          <w:rFonts w:ascii="Calibri" w:hAnsi="Calibri" w:eastAsia="宋体" w:cs="Times New Roman"/>
          <w:b/>
          <w:color w:val="auto"/>
          <w:highlight w:val="none"/>
        </w:rPr>
      </w:pPr>
    </w:p>
    <w:p w14:paraId="6BE7D4B3">
      <w:pPr>
        <w:keepNext/>
        <w:keepLines/>
        <w:pageBreakBefore w:val="0"/>
        <w:widowControl/>
        <w:kinsoku/>
        <w:wordWrap/>
        <w:overflowPunct/>
        <w:topLinePunct w:val="0"/>
        <w:autoSpaceDE/>
        <w:autoSpaceDN/>
        <w:bidi w:val="0"/>
        <w:adjustRightInd/>
        <w:snapToGrid/>
        <w:spacing w:line="240" w:lineRule="auto"/>
        <w:ind w:firstLine="422" w:firstLineChars="200"/>
        <w:rPr>
          <w:rFonts w:ascii="Calibri" w:hAnsi="Calibri" w:eastAsia="宋体" w:cs="Times New Roman"/>
          <w:color w:val="auto"/>
          <w:highlight w:val="none"/>
        </w:rPr>
      </w:pPr>
      <w:r>
        <w:rPr>
          <w:rFonts w:ascii="Calibri" w:hAnsi="Calibri" w:eastAsia="宋体" w:cs="Times New Roman"/>
          <w:b/>
          <w:color w:val="auto"/>
          <w:highlight w:val="none"/>
        </w:rPr>
        <w:t>1.主要商务要求</w:t>
      </w:r>
    </w:p>
    <w:tbl>
      <w:tblPr>
        <w:tblStyle w:val="6"/>
        <w:tblW w:w="5120" w:type="pct"/>
        <w:tblInd w:w="-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80"/>
        <w:gridCol w:w="7036"/>
      </w:tblGrid>
      <w:tr w14:paraId="7180D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869" w:type="pct"/>
            <w:tcBorders>
              <w:top w:val="single" w:color="000000" w:sz="2" w:space="0"/>
              <w:bottom w:val="single" w:color="000000" w:sz="2" w:space="0"/>
            </w:tcBorders>
            <w:noWrap w:val="0"/>
            <w:vAlign w:val="center"/>
          </w:tcPr>
          <w:p w14:paraId="54F641AE">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标的提供的时间</w:t>
            </w:r>
          </w:p>
        </w:tc>
        <w:tc>
          <w:tcPr>
            <w:tcW w:w="4130" w:type="pct"/>
            <w:tcBorders>
              <w:top w:val="single" w:color="000000" w:sz="2" w:space="0"/>
              <w:bottom w:val="single" w:color="000000" w:sz="2" w:space="0"/>
            </w:tcBorders>
            <w:noWrap w:val="0"/>
            <w:vAlign w:val="center"/>
          </w:tcPr>
          <w:p w14:paraId="106B1554">
            <w:pPr>
              <w:keepNext/>
              <w:keepLines/>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highlight w:val="none"/>
                <w:lang w:val="en-US" w:eastAsia="zh-CN"/>
              </w:rPr>
            </w:pPr>
            <w:r>
              <w:rPr>
                <w:rFonts w:hint="eastAsia" w:ascii="宋体" w:hAnsi="宋体" w:eastAsia="宋体" w:cs="Times New Roman"/>
                <w:color w:val="auto"/>
                <w:szCs w:val="21"/>
                <w:highlight w:val="none"/>
                <w:lang w:eastAsia="zh-CN"/>
              </w:rPr>
              <w:t>自合同生效之日起2年，具体以合同签订时间为准。若合同履行期间采购人支付金额累计达到采购预算金额，本合同随之终止</w:t>
            </w:r>
            <w:r>
              <w:rPr>
                <w:rFonts w:hint="eastAsia" w:ascii="宋体" w:hAnsi="宋体" w:eastAsia="宋体" w:cs="宋体"/>
                <w:color w:val="auto"/>
                <w:highlight w:val="none"/>
                <w:lang w:val="en-US" w:eastAsia="zh-CN"/>
              </w:rPr>
              <w:t>。</w:t>
            </w:r>
          </w:p>
        </w:tc>
      </w:tr>
      <w:tr w14:paraId="54DC2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869" w:type="pct"/>
            <w:tcBorders>
              <w:top w:val="single" w:color="000000" w:sz="2" w:space="0"/>
              <w:bottom w:val="single" w:color="000000" w:sz="2" w:space="0"/>
            </w:tcBorders>
            <w:noWrap w:val="0"/>
            <w:vAlign w:val="center"/>
          </w:tcPr>
          <w:p w14:paraId="266AEB58">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标的提供的地点</w:t>
            </w:r>
          </w:p>
        </w:tc>
        <w:tc>
          <w:tcPr>
            <w:tcW w:w="4130" w:type="pct"/>
            <w:tcBorders>
              <w:top w:val="single" w:color="000000" w:sz="2" w:space="0"/>
              <w:bottom w:val="single" w:color="000000" w:sz="2" w:space="0"/>
            </w:tcBorders>
            <w:noWrap w:val="0"/>
            <w:vAlign w:val="center"/>
          </w:tcPr>
          <w:p w14:paraId="60D59335">
            <w:pPr>
              <w:keepNext/>
              <w:keepLines/>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采购人指定地点。</w:t>
            </w:r>
          </w:p>
        </w:tc>
      </w:tr>
      <w:tr w14:paraId="097D1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869" w:type="pct"/>
            <w:tcBorders>
              <w:top w:val="single" w:color="000000" w:sz="2" w:space="0"/>
              <w:bottom w:val="single" w:color="000000" w:sz="2" w:space="0"/>
            </w:tcBorders>
            <w:noWrap w:val="0"/>
            <w:vAlign w:val="center"/>
          </w:tcPr>
          <w:p w14:paraId="68C3F560">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付款方式</w:t>
            </w:r>
          </w:p>
        </w:tc>
        <w:tc>
          <w:tcPr>
            <w:tcW w:w="4130" w:type="pct"/>
            <w:tcBorders>
              <w:top w:val="single" w:color="000000" w:sz="2" w:space="0"/>
              <w:bottom w:val="single" w:color="000000" w:sz="2" w:space="0"/>
            </w:tcBorders>
            <w:noWrap w:val="0"/>
            <w:vAlign w:val="top"/>
          </w:tcPr>
          <w:p w14:paraId="71C3E7B9">
            <w:pPr>
              <w:keepNext/>
              <w:keepLines/>
              <w:pageBreakBefore w:val="0"/>
              <w:widowControl/>
              <w:kinsoku/>
              <w:wordWrap/>
              <w:overflowPunct/>
              <w:topLinePunct w:val="0"/>
              <w:autoSpaceDE/>
              <w:autoSpaceDN/>
              <w:bidi w:val="0"/>
              <w:adjustRightInd/>
              <w:snapToGrid/>
              <w:spacing w:line="24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1.按月度支付洗涤费用，每月洗涤服务费＝每件单价×当月实际发生数量。</w:t>
            </w:r>
          </w:p>
          <w:p w14:paraId="4635D5FB">
            <w:pPr>
              <w:keepNext/>
              <w:keepLines/>
              <w:pageBreakBefore w:val="0"/>
              <w:widowControl/>
              <w:kinsoku/>
              <w:wordWrap/>
              <w:overflowPunct/>
              <w:topLinePunct w:val="0"/>
              <w:autoSpaceDE/>
              <w:autoSpaceDN/>
              <w:bidi w:val="0"/>
              <w:adjustRightInd/>
              <w:snapToGrid/>
              <w:spacing w:line="24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w:t>
            </w:r>
            <w:r>
              <w:rPr>
                <w:rFonts w:hint="eastAsia" w:ascii="宋体" w:hAnsi="宋体" w:eastAsia="宋体" w:cs="Times New Roman"/>
                <w:color w:val="auto"/>
                <w:szCs w:val="21"/>
                <w:highlight w:val="none"/>
                <w:lang w:eastAsia="zh-CN"/>
              </w:rPr>
              <w:t>中标人</w:t>
            </w:r>
            <w:r>
              <w:rPr>
                <w:rFonts w:hint="eastAsia" w:ascii="宋体" w:hAnsi="宋体" w:eastAsia="宋体" w:cs="宋体"/>
                <w:color w:val="auto"/>
                <w:highlight w:val="none"/>
                <w:lang w:val="en-US" w:eastAsia="zh-CN"/>
              </w:rPr>
              <w:t xml:space="preserve">整理月度报表并根据月度考核结果核定金额后开具正式发票，给采购人经办科室核对，核对无误后，采购人在收到发票后30个工作日内，通过银行转账付洗涤服务费。 </w:t>
            </w:r>
          </w:p>
          <w:p w14:paraId="4C9D845D">
            <w:pPr>
              <w:keepNext/>
              <w:keepLines/>
              <w:pageBreakBefore w:val="0"/>
              <w:widowControl/>
              <w:kinsoku/>
              <w:wordWrap/>
              <w:overflowPunct/>
              <w:topLinePunct w:val="0"/>
              <w:autoSpaceDE/>
              <w:autoSpaceDN/>
              <w:bidi w:val="0"/>
              <w:adjustRightInd/>
              <w:snapToGrid/>
              <w:spacing w:line="24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3.如遇节假日或不可抗拒原因，支付日期顺延。</w:t>
            </w:r>
          </w:p>
          <w:p w14:paraId="1AEABB16">
            <w:pPr>
              <w:keepNext/>
              <w:keepLines/>
              <w:pageBreakBefore w:val="0"/>
              <w:widowControl/>
              <w:kinsoku/>
              <w:wordWrap/>
              <w:overflowPunct/>
              <w:topLinePunct w:val="0"/>
              <w:autoSpaceDE/>
              <w:autoSpaceDN/>
              <w:bidi w:val="0"/>
              <w:adjustRightInd/>
              <w:snapToGrid/>
              <w:spacing w:line="24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w:t>
            </w:r>
            <w:r>
              <w:rPr>
                <w:rFonts w:hint="eastAsia" w:ascii="宋体" w:hAnsi="宋体" w:eastAsia="宋体" w:cs="Times New Roman"/>
                <w:color w:val="auto"/>
                <w:szCs w:val="21"/>
                <w:highlight w:val="none"/>
                <w:lang w:eastAsia="zh-CN"/>
              </w:rPr>
              <w:t>中标人</w:t>
            </w:r>
            <w:r>
              <w:rPr>
                <w:rFonts w:hint="eastAsia" w:ascii="宋体" w:hAnsi="宋体" w:eastAsia="宋体" w:cs="宋体"/>
                <w:color w:val="auto"/>
                <w:highlight w:val="none"/>
                <w:lang w:val="en-US" w:eastAsia="zh-CN"/>
              </w:rPr>
              <w:t xml:space="preserve">应提供正规发票，不得提供虚假发票，不得以任何理由委托第三方办理结算事宜，否则采购人有权拒绝付款。 </w:t>
            </w:r>
          </w:p>
          <w:p w14:paraId="362BBD44">
            <w:pPr>
              <w:keepNext/>
              <w:keepLines/>
              <w:pageBreakBefore w:val="0"/>
              <w:widowControl/>
              <w:kinsoku/>
              <w:wordWrap/>
              <w:overflowPunct/>
              <w:topLinePunct w:val="0"/>
              <w:autoSpaceDE/>
              <w:autoSpaceDN/>
              <w:bidi w:val="0"/>
              <w:adjustRightInd/>
              <w:snapToGrid/>
              <w:spacing w:line="24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5.每次付款时</w:t>
            </w:r>
            <w:r>
              <w:rPr>
                <w:rFonts w:hint="eastAsia" w:ascii="宋体" w:hAnsi="宋体" w:eastAsia="宋体" w:cs="Times New Roman"/>
                <w:color w:val="auto"/>
                <w:szCs w:val="21"/>
                <w:highlight w:val="none"/>
                <w:lang w:eastAsia="zh-CN"/>
              </w:rPr>
              <w:t>中标人</w:t>
            </w:r>
            <w:r>
              <w:rPr>
                <w:rFonts w:hint="eastAsia" w:ascii="宋体" w:hAnsi="宋体" w:eastAsia="宋体" w:cs="宋体"/>
                <w:color w:val="auto"/>
                <w:highlight w:val="none"/>
                <w:lang w:val="en-US" w:eastAsia="zh-CN"/>
              </w:rPr>
              <w:t>需出具：月洗衣数清单、</w:t>
            </w:r>
            <w:r>
              <w:rPr>
                <w:rFonts w:hint="eastAsia" w:ascii="宋体" w:hAnsi="宋体" w:eastAsia="宋体" w:cs="宋体"/>
                <w:color w:val="auto"/>
                <w:sz w:val="21"/>
                <w:szCs w:val="21"/>
                <w:highlight w:val="none"/>
                <w:lang w:val="en-US" w:eastAsia="zh-CN"/>
              </w:rPr>
              <w:t>回洗清单、</w:t>
            </w:r>
            <w:r>
              <w:rPr>
                <w:rFonts w:hint="eastAsia" w:ascii="宋体" w:hAnsi="宋体" w:eastAsia="宋体" w:cs="宋体"/>
                <w:color w:val="auto"/>
                <w:highlight w:val="none"/>
                <w:lang w:val="en-US" w:eastAsia="zh-CN"/>
              </w:rPr>
              <w:t>衣物报废单。如有出现质量或投诉情况还需提供以下资料：投诉处理记录或情况说明等。</w:t>
            </w:r>
          </w:p>
        </w:tc>
      </w:tr>
      <w:tr w14:paraId="3AFC9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869" w:type="pct"/>
            <w:tcBorders>
              <w:top w:val="single" w:color="000000" w:sz="2" w:space="0"/>
              <w:bottom w:val="single" w:color="000000" w:sz="2" w:space="0"/>
            </w:tcBorders>
            <w:noWrap w:val="0"/>
            <w:vAlign w:val="center"/>
          </w:tcPr>
          <w:p w14:paraId="1C75216A">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验收要求</w:t>
            </w:r>
          </w:p>
        </w:tc>
        <w:tc>
          <w:tcPr>
            <w:tcW w:w="4130" w:type="pct"/>
            <w:tcBorders>
              <w:top w:val="single" w:color="000000" w:sz="2" w:space="0"/>
              <w:bottom w:val="single" w:color="000000" w:sz="2" w:space="0"/>
            </w:tcBorders>
            <w:noWrap w:val="0"/>
            <w:vAlign w:val="top"/>
          </w:tcPr>
          <w:p w14:paraId="2F8D6446">
            <w:pPr>
              <w:keepNext/>
              <w:keepLines/>
              <w:pageBreakBefore w:val="0"/>
              <w:widowControl/>
              <w:kinsoku/>
              <w:wordWrap/>
              <w:overflowPunct/>
              <w:topLinePunct w:val="0"/>
              <w:autoSpaceDE/>
              <w:autoSpaceDN/>
              <w:bidi w:val="0"/>
              <w:adjustRightInd/>
              <w:snapToGrid/>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月度考核：采购人每月末按《中山市南朗医院医疗洗涤采购项目月度考核评分表》（见附表1），组织对当月服务质量的验收及考核。月度考核评分≥70分为合格，反之为不合格。</w:t>
            </w:r>
          </w:p>
        </w:tc>
      </w:tr>
      <w:tr w14:paraId="5398C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869" w:type="pct"/>
            <w:tcBorders>
              <w:top w:val="single" w:color="000000" w:sz="2" w:space="0"/>
              <w:bottom w:val="single" w:color="000000" w:sz="2" w:space="0"/>
            </w:tcBorders>
            <w:noWrap w:val="0"/>
            <w:vAlign w:val="top"/>
          </w:tcPr>
          <w:p w14:paraId="2CC2BED5">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4130" w:type="pct"/>
            <w:tcBorders>
              <w:top w:val="single" w:color="000000" w:sz="2" w:space="0"/>
              <w:bottom w:val="single" w:color="000000" w:sz="2" w:space="0"/>
            </w:tcBorders>
            <w:noWrap w:val="0"/>
            <w:vAlign w:val="center"/>
          </w:tcPr>
          <w:p w14:paraId="11AF95F7">
            <w:pPr>
              <w:widowControl w:val="0"/>
              <w:numPr>
                <w:ilvl w:val="0"/>
                <w:numId w:val="0"/>
              </w:numPr>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1.中标人在签订合同后10个日历日内向采购人提交履约保证金5万。履约保证金以银行担保函或银行转账的形式递交。如发生违约，采购人可从履约保证金中扣除，于合同期满或合同终止后结算。</w:t>
            </w:r>
          </w:p>
          <w:p w14:paraId="327767AE">
            <w:pPr>
              <w:widowControl w:val="0"/>
              <w:numPr>
                <w:ilvl w:val="0"/>
                <w:numId w:val="0"/>
              </w:numPr>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2.在中标人履行完合同约定权利义务事项后，采购人将在30天内把履约保证金无息全额退还给中标人。</w:t>
            </w:r>
          </w:p>
          <w:p w14:paraId="679A3393">
            <w:pPr>
              <w:widowControl w:val="0"/>
              <w:numPr>
                <w:ilvl w:val="0"/>
                <w:numId w:val="0"/>
              </w:numPr>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3.履约保证金以银行转账形式递交的，须以中标人的名义向采购人指定的银行账户提交履约保证金。</w:t>
            </w:r>
          </w:p>
          <w:p w14:paraId="180F50E7">
            <w:pPr>
              <w:keepNext/>
              <w:keepLines/>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履约保证金以银行履约保函形式递交的，履约保函有效期至少到项目验收合格后；如保函期限届满前30天内，项目还未完成，中标人应立即向保函出具单位申请延续保函期限，延续期限不少于6个月。</w:t>
            </w:r>
          </w:p>
        </w:tc>
      </w:tr>
      <w:tr w14:paraId="769B2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2" w:hRule="atLeast"/>
        </w:trPr>
        <w:tc>
          <w:tcPr>
            <w:tcW w:w="869" w:type="pct"/>
            <w:vMerge w:val="restart"/>
            <w:tcBorders>
              <w:top w:val="single" w:color="000000" w:sz="2" w:space="0"/>
            </w:tcBorders>
            <w:noWrap w:val="0"/>
            <w:vAlign w:val="center"/>
          </w:tcPr>
          <w:p w14:paraId="23D06C71">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4130" w:type="pct"/>
            <w:tcBorders>
              <w:top w:val="single" w:color="000000" w:sz="2" w:space="0"/>
              <w:bottom w:val="single" w:color="000000" w:sz="2" w:space="0"/>
            </w:tcBorders>
            <w:noWrap w:val="0"/>
            <w:vAlign w:val="top"/>
          </w:tcPr>
          <w:p w14:paraId="758239A4">
            <w:pPr>
              <w:keepNext w:val="0"/>
              <w:keepLines w:val="0"/>
              <w:pageBreakBefore w:val="0"/>
              <w:widowControl/>
              <w:kinsoku/>
              <w:wordWrap/>
              <w:overflowPunct/>
              <w:topLinePunct w:val="0"/>
              <w:autoSpaceDE/>
              <w:autoSpaceDN/>
              <w:bidi w:val="0"/>
              <w:adjustRightInd/>
              <w:snapToGrid/>
              <w:spacing w:line="240" w:lineRule="auto"/>
              <w:ind w:firstLine="422" w:firstLineChars="200"/>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一、违约责任与赔偿损失</w:t>
            </w:r>
          </w:p>
          <w:p w14:paraId="2E9D9391">
            <w:pPr>
              <w:spacing w:line="24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 w:val="21"/>
                <w:szCs w:val="21"/>
                <w:highlight w:val="none"/>
                <w:lang w:eastAsia="zh-CN"/>
              </w:rPr>
              <w:t>中标人</w:t>
            </w:r>
            <w:r>
              <w:rPr>
                <w:rFonts w:hint="eastAsia" w:ascii="宋体" w:hAnsi="宋体" w:eastAsia="宋体" w:cs="宋体"/>
                <w:color w:val="auto"/>
                <w:szCs w:val="21"/>
                <w:highlight w:val="none"/>
                <w:lang w:val="en-US" w:eastAsia="zh-CN"/>
              </w:rPr>
              <w:t>提供的服务不符合招标文件、投标文件或合同规定的，采购人有权拒收，并且</w:t>
            </w:r>
            <w:r>
              <w:rPr>
                <w:rFonts w:hint="eastAsia" w:ascii="宋体" w:hAnsi="宋体" w:eastAsia="宋体" w:cs="宋体"/>
                <w:color w:val="auto"/>
                <w:sz w:val="21"/>
                <w:szCs w:val="21"/>
                <w:highlight w:val="none"/>
                <w:lang w:eastAsia="zh-CN"/>
              </w:rPr>
              <w:t>中标人</w:t>
            </w:r>
            <w:r>
              <w:rPr>
                <w:rFonts w:hint="eastAsia" w:ascii="宋体" w:hAnsi="宋体" w:eastAsia="宋体" w:cs="宋体"/>
                <w:color w:val="auto"/>
                <w:szCs w:val="21"/>
                <w:highlight w:val="none"/>
                <w:lang w:val="en-US" w:eastAsia="zh-CN"/>
              </w:rPr>
              <w:t>须向采购人支付该月洗涤服务金额5%的违约金。</w:t>
            </w:r>
          </w:p>
          <w:p w14:paraId="0C3CF6EC">
            <w:pPr>
              <w:spacing w:line="24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 w:val="21"/>
                <w:szCs w:val="21"/>
                <w:highlight w:val="none"/>
                <w:lang w:eastAsia="zh-CN"/>
              </w:rPr>
              <w:t>中标人</w:t>
            </w:r>
            <w:r>
              <w:rPr>
                <w:rFonts w:hint="eastAsia" w:ascii="宋体" w:hAnsi="宋体" w:eastAsia="宋体" w:cs="宋体"/>
                <w:color w:val="auto"/>
                <w:szCs w:val="21"/>
                <w:highlight w:val="none"/>
                <w:lang w:val="en-US" w:eastAsia="zh-CN"/>
              </w:rPr>
              <w:t>未能按本合同规定的交货时间交付货物/提供服务的，从逾期之日起每日按该月洗涤服务金额3‰的数额向采购人支付违约金；逾期15天以上（含15天）的，</w:t>
            </w:r>
            <w:r>
              <w:rPr>
                <w:rFonts w:hint="eastAsia" w:ascii="宋体" w:hAnsi="宋体" w:eastAsia="宋体" w:cs="宋体"/>
                <w:color w:val="auto"/>
                <w:szCs w:val="21"/>
                <w:highlight w:val="none"/>
              </w:rPr>
              <w:t>采购人有权单方解除合同并没收履约保证金，由此给采购人造成的经济损失，中标人仍应承担相应赔偿责任。</w:t>
            </w:r>
          </w:p>
          <w:p w14:paraId="66D70A84">
            <w:pPr>
              <w:spacing w:line="24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3.采购人无正当理由拒绝接受服务，到期无故拒付服务款项的，采购人向</w:t>
            </w:r>
            <w:r>
              <w:rPr>
                <w:rFonts w:hint="eastAsia" w:ascii="宋体" w:hAnsi="宋体" w:eastAsia="宋体" w:cs="宋体"/>
                <w:color w:val="auto"/>
                <w:sz w:val="21"/>
                <w:szCs w:val="21"/>
                <w:highlight w:val="none"/>
                <w:lang w:eastAsia="zh-CN"/>
              </w:rPr>
              <w:t>中标人</w:t>
            </w:r>
            <w:r>
              <w:rPr>
                <w:rFonts w:hint="eastAsia" w:ascii="宋体" w:hAnsi="宋体" w:eastAsia="宋体" w:cs="宋体"/>
                <w:color w:val="auto"/>
                <w:szCs w:val="21"/>
                <w:highlight w:val="none"/>
                <w:lang w:val="en-US" w:eastAsia="zh-CN"/>
              </w:rPr>
              <w:t>偿付该月洗涤服务金额5%的违约金。采购人无故逾期付款，则每日按该月洗涤服务金额的1‰向</w:t>
            </w:r>
            <w:r>
              <w:rPr>
                <w:rFonts w:hint="eastAsia" w:ascii="宋体" w:hAnsi="宋体" w:eastAsia="宋体" w:cs="宋体"/>
                <w:color w:val="auto"/>
                <w:sz w:val="21"/>
                <w:szCs w:val="21"/>
                <w:highlight w:val="none"/>
                <w:lang w:eastAsia="zh-CN"/>
              </w:rPr>
              <w:t>中标人</w:t>
            </w:r>
            <w:r>
              <w:rPr>
                <w:rFonts w:hint="eastAsia" w:ascii="宋体" w:hAnsi="宋体" w:eastAsia="宋体" w:cs="宋体"/>
                <w:color w:val="auto"/>
                <w:szCs w:val="21"/>
                <w:highlight w:val="none"/>
                <w:lang w:val="en-US" w:eastAsia="zh-CN"/>
              </w:rPr>
              <w:t>偿付违约金。</w:t>
            </w:r>
          </w:p>
          <w:p w14:paraId="2A4CE478">
            <w:pPr>
              <w:spacing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.除本合同约定或法律规定的有权单方解除合同的情形外：</w:t>
            </w:r>
          </w:p>
          <w:p w14:paraId="608CB03B">
            <w:pPr>
              <w:spacing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若中标人无正当理由擅自撤场、单方停止服务或拒绝履行本合同约定的其他主要义务的，则构成根本违约。</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有权单方解除合同，</w:t>
            </w:r>
            <w:r>
              <w:rPr>
                <w:rFonts w:hint="eastAsia" w:ascii="宋体" w:hAnsi="宋体" w:eastAsia="宋体" w:cs="宋体"/>
                <w:color w:val="auto"/>
                <w:szCs w:val="21"/>
                <w:highlight w:val="none"/>
                <w:lang w:eastAsia="zh-CN"/>
              </w:rPr>
              <w:t>中标人</w:t>
            </w:r>
            <w:r>
              <w:rPr>
                <w:rFonts w:hint="eastAsia" w:ascii="宋体" w:hAnsi="宋体" w:eastAsia="宋体" w:cs="宋体"/>
                <w:color w:val="auto"/>
                <w:szCs w:val="21"/>
                <w:highlight w:val="none"/>
              </w:rPr>
              <w:t>应向</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支付相当于本项目</w:t>
            </w:r>
            <w:r>
              <w:rPr>
                <w:rFonts w:hint="eastAsia" w:ascii="宋体" w:hAnsi="宋体" w:eastAsia="宋体" w:cs="宋体"/>
                <w:color w:val="auto"/>
                <w:szCs w:val="21"/>
                <w:highlight w:val="none"/>
                <w:lang w:val="en-US" w:eastAsia="zh-CN"/>
              </w:rPr>
              <w:t>预算</w:t>
            </w:r>
            <w:r>
              <w:rPr>
                <w:rFonts w:hint="eastAsia" w:ascii="宋体" w:hAnsi="宋体" w:eastAsia="宋体" w:cs="宋体"/>
                <w:color w:val="auto"/>
                <w:szCs w:val="21"/>
                <w:highlight w:val="none"/>
              </w:rPr>
              <w:t>总额30%的违约金。</w:t>
            </w:r>
          </w:p>
          <w:p w14:paraId="23CC1821">
            <w:pPr>
              <w:spacing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若</w:t>
            </w:r>
            <w:r>
              <w:rPr>
                <w:rFonts w:hint="eastAsia" w:ascii="宋体" w:hAnsi="宋体" w:eastAsia="宋体" w:cs="宋体"/>
                <w:color w:val="auto"/>
                <w:szCs w:val="21"/>
                <w:highlight w:val="none"/>
                <w:lang w:eastAsia="zh-CN"/>
              </w:rPr>
              <w:t>中标人</w:t>
            </w:r>
            <w:r>
              <w:rPr>
                <w:rFonts w:hint="eastAsia" w:ascii="宋体" w:hAnsi="宋体" w:eastAsia="宋体" w:cs="宋体"/>
                <w:color w:val="auto"/>
                <w:szCs w:val="21"/>
                <w:highlight w:val="none"/>
              </w:rPr>
              <w:t>拟提前终止合同，应至少提前90日向</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提交书面申请并陈述理由。如</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书面同意，双方应签署《合同解除协议》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明确约定过渡期安排及交接时限；如</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不同意或无正当理由，</w:t>
            </w:r>
            <w:r>
              <w:rPr>
                <w:rFonts w:hint="eastAsia" w:ascii="宋体" w:hAnsi="宋体" w:eastAsia="宋体" w:cs="宋体"/>
                <w:color w:val="auto"/>
                <w:szCs w:val="21"/>
                <w:highlight w:val="none"/>
                <w:lang w:eastAsia="zh-CN"/>
              </w:rPr>
              <w:t>中标人</w:t>
            </w:r>
            <w:r>
              <w:rPr>
                <w:rFonts w:hint="eastAsia" w:ascii="宋体" w:hAnsi="宋体" w:eastAsia="宋体" w:cs="宋体"/>
                <w:color w:val="auto"/>
                <w:szCs w:val="21"/>
                <w:highlight w:val="none"/>
              </w:rPr>
              <w:t>仍坚持终止的，则</w:t>
            </w:r>
            <w:r>
              <w:rPr>
                <w:rFonts w:hint="eastAsia" w:ascii="宋体" w:hAnsi="宋体" w:eastAsia="宋体" w:cs="宋体"/>
                <w:color w:val="auto"/>
                <w:szCs w:val="21"/>
                <w:highlight w:val="none"/>
                <w:lang w:eastAsia="zh-CN"/>
              </w:rPr>
              <w:t>中标人</w:t>
            </w:r>
            <w:r>
              <w:rPr>
                <w:rFonts w:hint="eastAsia" w:ascii="宋体" w:hAnsi="宋体" w:eastAsia="宋体" w:cs="宋体"/>
                <w:color w:val="auto"/>
                <w:szCs w:val="21"/>
                <w:highlight w:val="none"/>
              </w:rPr>
              <w:t>参照前款约定承担违约责任。</w:t>
            </w:r>
          </w:p>
          <w:p w14:paraId="40FD48B5">
            <w:pPr>
              <w:spacing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）中标人</w:t>
            </w:r>
            <w:r>
              <w:rPr>
                <w:rFonts w:hint="eastAsia" w:ascii="宋体" w:hAnsi="宋体" w:eastAsia="宋体" w:cs="宋体"/>
                <w:color w:val="auto"/>
                <w:szCs w:val="21"/>
                <w:highlight w:val="none"/>
              </w:rPr>
              <w:t>必须严格履行本项目的过渡期服务义务，直至新的成交供应商进场接替。若</w:t>
            </w:r>
            <w:r>
              <w:rPr>
                <w:rFonts w:hint="eastAsia" w:ascii="宋体" w:hAnsi="宋体" w:eastAsia="宋体" w:cs="宋体"/>
                <w:color w:val="auto"/>
                <w:szCs w:val="21"/>
                <w:highlight w:val="none"/>
                <w:lang w:eastAsia="zh-CN"/>
              </w:rPr>
              <w:t>中标人</w:t>
            </w:r>
            <w:r>
              <w:rPr>
                <w:rFonts w:hint="eastAsia" w:ascii="宋体" w:hAnsi="宋体" w:eastAsia="宋体" w:cs="宋体"/>
                <w:color w:val="auto"/>
                <w:szCs w:val="21"/>
                <w:highlight w:val="none"/>
              </w:rPr>
              <w:t>违反过渡期义务，</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有权从其应付款项中直接扣除损失，并保留进一步追偿的权利。</w:t>
            </w:r>
          </w:p>
          <w:p w14:paraId="23DE66B1">
            <w:pPr>
              <w:spacing w:line="24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5.其它违约责任按《中华人民共和国民法典》处理。</w:t>
            </w:r>
          </w:p>
        </w:tc>
      </w:tr>
      <w:tr w14:paraId="5DCFA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69" w:type="pct"/>
            <w:vMerge w:val="continue"/>
            <w:tcBorders>
              <w:bottom w:val="single" w:color="000000" w:sz="2" w:space="0"/>
            </w:tcBorders>
            <w:noWrap w:val="0"/>
            <w:vAlign w:val="center"/>
          </w:tcPr>
          <w:p w14:paraId="60702487">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Cs w:val="21"/>
                <w:highlight w:val="none"/>
              </w:rPr>
            </w:pPr>
          </w:p>
        </w:tc>
        <w:tc>
          <w:tcPr>
            <w:tcW w:w="4130" w:type="pct"/>
            <w:tcBorders>
              <w:top w:val="single" w:color="000000" w:sz="2" w:space="0"/>
              <w:bottom w:val="single" w:color="000000" w:sz="2" w:space="0"/>
            </w:tcBorders>
            <w:noWrap w:val="0"/>
            <w:vAlign w:val="top"/>
          </w:tcPr>
          <w:p w14:paraId="0D22E25D">
            <w:pPr>
              <w:keepNext/>
              <w:keepLines/>
              <w:pageBreakBefore w:val="0"/>
              <w:widowControl/>
              <w:kinsoku/>
              <w:wordWrap/>
              <w:overflowPunct/>
              <w:topLinePunct w:val="0"/>
              <w:autoSpaceDE/>
              <w:autoSpaceDN/>
              <w:bidi w:val="0"/>
              <w:adjustRightInd/>
              <w:snapToGrid/>
              <w:spacing w:line="240" w:lineRule="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二、采购人配合条件</w:t>
            </w:r>
          </w:p>
          <w:p w14:paraId="4D46FF46">
            <w:pPr>
              <w:spacing w:line="24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投标人在投标文件中可列明在项目实施过程中需采购人提供的配合条件。所列配合条件采购人将尽量配合解决，但不代表采购人全部接受，采购人有权全部或部分拒绝投标人提出的配合条件。</w:t>
            </w:r>
          </w:p>
        </w:tc>
      </w:tr>
    </w:tbl>
    <w:p w14:paraId="3E5123BA">
      <w:pPr>
        <w:keepNext/>
        <w:keepLines/>
        <w:pageBreakBefore w:val="0"/>
        <w:widowControl/>
        <w:kinsoku/>
        <w:wordWrap/>
        <w:overflowPunct/>
        <w:topLinePunct w:val="0"/>
        <w:autoSpaceDE/>
        <w:autoSpaceDN/>
        <w:bidi w:val="0"/>
        <w:adjustRightInd/>
        <w:snapToGrid/>
        <w:spacing w:line="240" w:lineRule="auto"/>
        <w:textAlignment w:val="auto"/>
        <w:rPr>
          <w:rFonts w:ascii="Calibri" w:hAnsi="Calibri" w:eastAsia="宋体" w:cs="Times New Roman"/>
          <w:color w:val="auto"/>
          <w:highlight w:val="none"/>
        </w:rPr>
      </w:pPr>
      <w:r>
        <w:rPr>
          <w:rFonts w:ascii="Calibri" w:hAnsi="Calibri" w:eastAsia="宋体" w:cs="Times New Roman"/>
          <w:b/>
          <w:color w:val="auto"/>
          <w:highlight w:val="none"/>
        </w:rPr>
        <w:t>2.技术标准与要求</w:t>
      </w:r>
    </w:p>
    <w:tbl>
      <w:tblPr>
        <w:tblStyle w:val="4"/>
        <w:tblW w:w="4994"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67"/>
        <w:gridCol w:w="922"/>
        <w:gridCol w:w="780"/>
        <w:gridCol w:w="1969"/>
        <w:gridCol w:w="438"/>
        <w:gridCol w:w="467"/>
        <w:gridCol w:w="1064"/>
        <w:gridCol w:w="1012"/>
        <w:gridCol w:w="745"/>
        <w:gridCol w:w="649"/>
      </w:tblGrid>
      <w:tr w14:paraId="56864C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4" w:type="pct"/>
            <w:vAlign w:val="center"/>
          </w:tcPr>
          <w:p w14:paraId="352CF470">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541" w:type="pct"/>
            <w:vAlign w:val="center"/>
          </w:tcPr>
          <w:p w14:paraId="3D5E9F54">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核心产品要求（“△”）</w:t>
            </w:r>
          </w:p>
        </w:tc>
        <w:tc>
          <w:tcPr>
            <w:tcW w:w="458" w:type="pct"/>
            <w:vAlign w:val="center"/>
          </w:tcPr>
          <w:p w14:paraId="3CA6DDC6">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品目名称</w:t>
            </w:r>
          </w:p>
        </w:tc>
        <w:tc>
          <w:tcPr>
            <w:tcW w:w="1156" w:type="pct"/>
            <w:vAlign w:val="center"/>
          </w:tcPr>
          <w:p w14:paraId="02DBF00F">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标的名称</w:t>
            </w:r>
          </w:p>
        </w:tc>
        <w:tc>
          <w:tcPr>
            <w:tcW w:w="257" w:type="pct"/>
            <w:vAlign w:val="center"/>
          </w:tcPr>
          <w:p w14:paraId="70C0F860">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单位</w:t>
            </w:r>
          </w:p>
        </w:tc>
        <w:tc>
          <w:tcPr>
            <w:tcW w:w="274" w:type="pct"/>
            <w:vAlign w:val="center"/>
          </w:tcPr>
          <w:p w14:paraId="217D2BF4">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数量</w:t>
            </w:r>
          </w:p>
        </w:tc>
        <w:tc>
          <w:tcPr>
            <w:tcW w:w="624" w:type="pct"/>
            <w:vAlign w:val="center"/>
          </w:tcPr>
          <w:p w14:paraId="0C28BC7E">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分项预算单价（元）</w:t>
            </w:r>
          </w:p>
        </w:tc>
        <w:tc>
          <w:tcPr>
            <w:tcW w:w="594" w:type="pct"/>
            <w:vAlign w:val="center"/>
          </w:tcPr>
          <w:p w14:paraId="1F888754">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分项预算总价（元）</w:t>
            </w:r>
          </w:p>
        </w:tc>
        <w:tc>
          <w:tcPr>
            <w:tcW w:w="437" w:type="pct"/>
            <w:vAlign w:val="center"/>
          </w:tcPr>
          <w:p w14:paraId="68AB4CF0">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所属行业</w:t>
            </w:r>
          </w:p>
        </w:tc>
        <w:tc>
          <w:tcPr>
            <w:tcW w:w="380" w:type="pct"/>
            <w:vAlign w:val="center"/>
          </w:tcPr>
          <w:p w14:paraId="05D99B6F">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技术要求</w:t>
            </w:r>
          </w:p>
        </w:tc>
      </w:tr>
      <w:tr w14:paraId="69168F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4" w:type="pct"/>
            <w:vAlign w:val="center"/>
          </w:tcPr>
          <w:p w14:paraId="2B30BEAA">
            <w:pPr>
              <w:keepNext/>
              <w:keepLines/>
              <w:pageBreakBefore w:val="0"/>
              <w:widowControl/>
              <w:kinsoku/>
              <w:wordWrap/>
              <w:overflowPunct/>
              <w:topLinePunct w:val="0"/>
              <w:autoSpaceDE/>
              <w:autoSpaceDN/>
              <w:bidi w:val="0"/>
              <w:adjustRightInd/>
              <w:snapToGrid/>
              <w:spacing w:before="73"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rPr>
              <w:t>1</w:t>
            </w:r>
          </w:p>
        </w:tc>
        <w:tc>
          <w:tcPr>
            <w:tcW w:w="541" w:type="pct"/>
            <w:vAlign w:val="center"/>
          </w:tcPr>
          <w:p w14:paraId="40BF9534">
            <w:pPr>
              <w:widowControl w:val="0"/>
              <w:jc w:val="both"/>
              <w:rPr>
                <w:rFonts w:hint="eastAsia" w:ascii="宋体" w:hAnsi="宋体" w:eastAsia="宋体" w:cs="宋体"/>
                <w:color w:val="auto"/>
                <w:kern w:val="2"/>
                <w:sz w:val="28"/>
                <w:szCs w:val="24"/>
                <w:highlight w:val="none"/>
                <w:lang w:val="en-US" w:eastAsia="zh-CN" w:bidi="ar-SA"/>
              </w:rPr>
            </w:pPr>
          </w:p>
        </w:tc>
        <w:tc>
          <w:tcPr>
            <w:tcW w:w="458" w:type="pct"/>
            <w:vAlign w:val="center"/>
          </w:tcPr>
          <w:p w14:paraId="43693C23">
            <w:pPr>
              <w:keepNext/>
              <w:keepLines/>
              <w:pageBreakBefore w:val="0"/>
              <w:widowControl/>
              <w:kinsoku/>
              <w:wordWrap/>
              <w:overflowPunct/>
              <w:topLinePunct w:val="0"/>
              <w:autoSpaceDE/>
              <w:autoSpaceDN/>
              <w:bidi w:val="0"/>
              <w:adjustRightInd/>
              <w:snapToGrid/>
              <w:jc w:val="cente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其他服务</w:t>
            </w:r>
          </w:p>
        </w:tc>
        <w:tc>
          <w:tcPr>
            <w:tcW w:w="1156" w:type="pct"/>
            <w:vAlign w:val="center"/>
          </w:tcPr>
          <w:p w14:paraId="2BCC7F72">
            <w:pPr>
              <w:keepNext/>
              <w:keepLines/>
              <w:pageBreakBefore w:val="0"/>
              <w:widowControl/>
              <w:kinsoku/>
              <w:wordWrap/>
              <w:overflowPunct/>
              <w:topLinePunct w:val="0"/>
              <w:autoSpaceDE/>
              <w:autoSpaceDN/>
              <w:bidi w:val="0"/>
              <w:adjustRightInd/>
              <w:snapToGrid/>
              <w:jc w:val="center"/>
              <w:rPr>
                <w:rFonts w:hint="eastAsia" w:ascii="宋体" w:hAnsi="宋体" w:eastAsia="宋体" w:cs="宋体"/>
                <w:color w:val="auto"/>
                <w:kern w:val="2"/>
                <w:sz w:val="21"/>
                <w:szCs w:val="24"/>
                <w:highlight w:val="none"/>
                <w:lang w:val="en-US" w:eastAsia="zh-CN" w:bidi="ar-SA"/>
              </w:rPr>
            </w:pPr>
            <w:r>
              <w:rPr>
                <w:rFonts w:hint="eastAsia" w:ascii="Calibri" w:hAnsi="Calibri" w:eastAsia="宋体" w:cs="Times New Roman"/>
                <w:color w:val="auto"/>
                <w:highlight w:val="none"/>
                <w:lang w:eastAsia="zh-CN"/>
              </w:rPr>
              <w:t>中山市南朗医院</w:t>
            </w:r>
            <w:r>
              <w:rPr>
                <w:rFonts w:hint="eastAsia" w:ascii="Calibri" w:hAnsi="Calibri" w:eastAsia="宋体" w:cs="Times New Roman"/>
                <w:color w:val="auto"/>
                <w:highlight w:val="none"/>
                <w:lang w:val="en-US" w:eastAsia="zh-CN"/>
              </w:rPr>
              <w:t>2027-2029年</w:t>
            </w:r>
            <w:r>
              <w:rPr>
                <w:rFonts w:hint="eastAsia" w:ascii="Calibri" w:hAnsi="Calibri" w:eastAsia="宋体" w:cs="Times New Roman"/>
                <w:color w:val="auto"/>
                <w:highlight w:val="none"/>
                <w:lang w:eastAsia="zh-CN"/>
              </w:rPr>
              <w:t>洗涤外包服务项目</w:t>
            </w:r>
          </w:p>
        </w:tc>
        <w:tc>
          <w:tcPr>
            <w:tcW w:w="257" w:type="pct"/>
            <w:vAlign w:val="center"/>
          </w:tcPr>
          <w:p w14:paraId="35249712">
            <w:pPr>
              <w:keepNext/>
              <w:keepLines/>
              <w:pageBreakBefore w:val="0"/>
              <w:widowControl/>
              <w:kinsoku/>
              <w:wordWrap/>
              <w:overflowPunct/>
              <w:topLinePunct w:val="0"/>
              <w:autoSpaceDE/>
              <w:autoSpaceDN/>
              <w:bidi w:val="0"/>
              <w:adjustRightInd/>
              <w:snapToGrid/>
              <w:jc w:val="cente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项</w:t>
            </w:r>
          </w:p>
        </w:tc>
        <w:tc>
          <w:tcPr>
            <w:tcW w:w="274" w:type="pct"/>
            <w:vAlign w:val="center"/>
          </w:tcPr>
          <w:p w14:paraId="587222F4">
            <w:pPr>
              <w:keepNext/>
              <w:keepLines/>
              <w:pageBreakBefore w:val="0"/>
              <w:widowControl/>
              <w:kinsoku/>
              <w:wordWrap/>
              <w:overflowPunct/>
              <w:topLinePunct w:val="0"/>
              <w:autoSpaceDE/>
              <w:autoSpaceDN/>
              <w:bidi w:val="0"/>
              <w:adjustRightInd/>
              <w:snapToGrid/>
              <w:jc w:val="cente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1</w:t>
            </w:r>
          </w:p>
        </w:tc>
        <w:tc>
          <w:tcPr>
            <w:tcW w:w="624" w:type="pct"/>
            <w:vAlign w:val="center"/>
          </w:tcPr>
          <w:p w14:paraId="7156E817">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highlight w:val="none"/>
                <w:lang w:val="en-US" w:eastAsia="zh-CN"/>
              </w:rPr>
            </w:pPr>
            <w:r>
              <w:rPr>
                <w:rFonts w:hint="eastAsia" w:ascii="宋体" w:hAnsi="宋体" w:eastAsia="宋体" w:cs="Times New Roman"/>
                <w:color w:val="auto"/>
                <w:szCs w:val="21"/>
                <w:highlight w:val="none"/>
                <w:lang w:val="en-US" w:eastAsia="zh-CN"/>
              </w:rPr>
              <w:t>928456.32</w:t>
            </w:r>
          </w:p>
        </w:tc>
        <w:tc>
          <w:tcPr>
            <w:tcW w:w="594" w:type="pct"/>
            <w:vAlign w:val="center"/>
          </w:tcPr>
          <w:p w14:paraId="14A40783">
            <w:pPr>
              <w:keepNext/>
              <w:keepLines/>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highlight w:val="none"/>
                <w:lang w:val="en-US" w:eastAsia="zh-CN"/>
              </w:rPr>
            </w:pPr>
            <w:r>
              <w:rPr>
                <w:rFonts w:hint="eastAsia" w:ascii="宋体" w:hAnsi="宋体" w:eastAsia="宋体" w:cs="Times New Roman"/>
                <w:color w:val="auto"/>
                <w:szCs w:val="21"/>
                <w:highlight w:val="none"/>
                <w:lang w:val="en-US" w:eastAsia="zh-CN"/>
              </w:rPr>
              <w:t>928456.32</w:t>
            </w:r>
          </w:p>
        </w:tc>
        <w:tc>
          <w:tcPr>
            <w:tcW w:w="437" w:type="pct"/>
            <w:vAlign w:val="center"/>
          </w:tcPr>
          <w:p w14:paraId="671FA4FB">
            <w:pPr>
              <w:keepNext/>
              <w:keepLines/>
              <w:pageBreakBefore w:val="0"/>
              <w:widowControl/>
              <w:kinsoku/>
              <w:wordWrap/>
              <w:overflowPunct/>
              <w:topLinePunct w:val="0"/>
              <w:autoSpaceDE/>
              <w:autoSpaceDN/>
              <w:bidi w:val="0"/>
              <w:adjustRightInd/>
              <w:snapToGrid/>
              <w:spacing w:before="62" w:line="240" w:lineRule="auto"/>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其他未列明行业</w:t>
            </w:r>
          </w:p>
        </w:tc>
        <w:tc>
          <w:tcPr>
            <w:tcW w:w="380" w:type="pct"/>
            <w:vAlign w:val="center"/>
          </w:tcPr>
          <w:p w14:paraId="45BDA6D7">
            <w:pPr>
              <w:keepNext/>
              <w:keepLines/>
              <w:pageBreakBefore w:val="0"/>
              <w:widowControl/>
              <w:kinsoku/>
              <w:wordWrap/>
              <w:overflowPunct/>
              <w:topLinePunct w:val="0"/>
              <w:autoSpaceDE/>
              <w:autoSpaceDN/>
              <w:bidi w:val="0"/>
              <w:adjustRightInd/>
              <w:snapToGrid/>
              <w:spacing w:before="62"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pacing w:val="5"/>
                <w:sz w:val="21"/>
                <w:szCs w:val="21"/>
                <w:highlight w:val="none"/>
              </w:rPr>
              <w:t>详见附表一</w:t>
            </w:r>
          </w:p>
        </w:tc>
      </w:tr>
    </w:tbl>
    <w:p w14:paraId="24B2EE0A">
      <w:pPr>
        <w:keepNext/>
        <w:keepLines/>
        <w:pageBreakBefore w:val="0"/>
        <w:widowControl/>
        <w:kinsoku/>
        <w:wordWrap/>
        <w:overflowPunct/>
        <w:topLinePunct w:val="0"/>
        <w:autoSpaceDE/>
        <w:autoSpaceDN/>
        <w:bidi w:val="0"/>
        <w:adjustRightInd/>
        <w:snapToGrid/>
        <w:spacing w:line="240" w:lineRule="auto"/>
        <w:textAlignment w:val="auto"/>
        <w:rPr>
          <w:rFonts w:ascii="Calibri" w:hAnsi="Calibri" w:eastAsia="宋体" w:cs="Times New Roman"/>
          <w:color w:val="auto"/>
          <w:highlight w:val="none"/>
        </w:rPr>
      </w:pPr>
      <w:r>
        <w:rPr>
          <w:rFonts w:ascii="Calibri" w:hAnsi="Calibri" w:eastAsia="宋体" w:cs="Times New Roman"/>
          <w:b/>
          <w:color w:val="auto"/>
          <w:highlight w:val="none"/>
        </w:rPr>
        <w:t>附表一：</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05"/>
        <w:gridCol w:w="405"/>
        <w:gridCol w:w="7712"/>
      </w:tblGrid>
      <w:tr w14:paraId="705E72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trPr>
        <w:tc>
          <w:tcPr>
            <w:tcW w:w="405" w:type="dxa"/>
            <w:noWrap w:val="0"/>
            <w:vAlign w:val="center"/>
          </w:tcPr>
          <w:p w14:paraId="17A419AE">
            <w:pPr>
              <w:keepNext/>
              <w:keepLines/>
              <w:pageBreakBefore w:val="0"/>
              <w:widowControl/>
              <w:kinsoku/>
              <w:wordWrap/>
              <w:overflowPunct/>
              <w:topLinePunct w:val="0"/>
              <w:autoSpaceDE/>
              <w:autoSpaceDN/>
              <w:bidi w:val="0"/>
              <w:adjustRightInd/>
              <w:snapToGrid/>
              <w:spacing w:line="240" w:lineRule="auto"/>
              <w:jc w:val="center"/>
              <w:textAlignment w:val="auto"/>
              <w:rPr>
                <w:rFonts w:ascii="Calibri" w:hAnsi="Calibri" w:eastAsia="宋体" w:cs="Times New Roman"/>
                <w:color w:val="auto"/>
                <w:sz w:val="21"/>
                <w:szCs w:val="21"/>
                <w:highlight w:val="none"/>
              </w:rPr>
            </w:pPr>
            <w:r>
              <w:rPr>
                <w:rFonts w:ascii="Calibri" w:hAnsi="Calibri" w:eastAsia="宋体" w:cs="Times New Roman"/>
                <w:color w:val="auto"/>
                <w:sz w:val="21"/>
                <w:szCs w:val="21"/>
                <w:highlight w:val="none"/>
              </w:rPr>
              <w:t>参数性质</w:t>
            </w:r>
          </w:p>
        </w:tc>
        <w:tc>
          <w:tcPr>
            <w:tcW w:w="405" w:type="dxa"/>
            <w:noWrap w:val="0"/>
            <w:vAlign w:val="center"/>
          </w:tcPr>
          <w:p w14:paraId="7E14B6E9">
            <w:pPr>
              <w:keepNext/>
              <w:keepLines/>
              <w:pageBreakBefore w:val="0"/>
              <w:widowControl/>
              <w:kinsoku/>
              <w:wordWrap/>
              <w:overflowPunct/>
              <w:topLinePunct w:val="0"/>
              <w:autoSpaceDE/>
              <w:autoSpaceDN/>
              <w:bidi w:val="0"/>
              <w:adjustRightInd/>
              <w:snapToGrid/>
              <w:spacing w:line="240" w:lineRule="auto"/>
              <w:jc w:val="center"/>
              <w:textAlignment w:val="auto"/>
              <w:rPr>
                <w:rFonts w:ascii="Calibri" w:hAnsi="Calibri" w:eastAsia="宋体" w:cs="Times New Roman"/>
                <w:color w:val="auto"/>
                <w:sz w:val="21"/>
                <w:szCs w:val="21"/>
                <w:highlight w:val="none"/>
              </w:rPr>
            </w:pPr>
            <w:r>
              <w:rPr>
                <w:rFonts w:ascii="Calibri" w:hAnsi="Calibri" w:eastAsia="宋体" w:cs="Times New Roman"/>
                <w:color w:val="auto"/>
                <w:sz w:val="21"/>
                <w:szCs w:val="21"/>
                <w:highlight w:val="none"/>
              </w:rPr>
              <w:t>序号</w:t>
            </w:r>
          </w:p>
        </w:tc>
        <w:tc>
          <w:tcPr>
            <w:tcW w:w="7712" w:type="dxa"/>
            <w:noWrap w:val="0"/>
            <w:vAlign w:val="center"/>
          </w:tcPr>
          <w:p w14:paraId="0457F1F2">
            <w:pPr>
              <w:keepNext/>
              <w:keepLines/>
              <w:pageBreakBefore w:val="0"/>
              <w:widowControl/>
              <w:kinsoku/>
              <w:wordWrap/>
              <w:overflowPunct/>
              <w:topLinePunct w:val="0"/>
              <w:autoSpaceDE/>
              <w:autoSpaceDN/>
              <w:bidi w:val="0"/>
              <w:adjustRightInd/>
              <w:snapToGrid/>
              <w:spacing w:line="240" w:lineRule="auto"/>
              <w:jc w:val="center"/>
              <w:textAlignment w:val="auto"/>
              <w:rPr>
                <w:rFonts w:ascii="Calibri" w:hAnsi="Calibri" w:eastAsia="宋体" w:cs="Times New Roman"/>
                <w:color w:val="auto"/>
                <w:sz w:val="21"/>
                <w:szCs w:val="21"/>
                <w:highlight w:val="none"/>
              </w:rPr>
            </w:pPr>
            <w:r>
              <w:rPr>
                <w:rFonts w:ascii="Calibri" w:hAnsi="Calibri" w:eastAsia="宋体" w:cs="Times New Roman"/>
                <w:color w:val="auto"/>
                <w:sz w:val="21"/>
                <w:szCs w:val="21"/>
                <w:highlight w:val="none"/>
              </w:rPr>
              <w:t>具体技术(参数)要求</w:t>
            </w:r>
          </w:p>
        </w:tc>
      </w:tr>
      <w:tr w14:paraId="567F13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07" w:hRule="atLeast"/>
        </w:trPr>
        <w:tc>
          <w:tcPr>
            <w:tcW w:w="405" w:type="dxa"/>
            <w:noWrap w:val="0"/>
            <w:vAlign w:val="top"/>
          </w:tcPr>
          <w:p w14:paraId="5D1BACE2">
            <w:pPr>
              <w:keepNext/>
              <w:keepLines/>
              <w:pageBreakBefore w:val="0"/>
              <w:widowControl/>
              <w:kinsoku/>
              <w:wordWrap/>
              <w:overflowPunct/>
              <w:topLinePunct w:val="0"/>
              <w:autoSpaceDE/>
              <w:autoSpaceDN/>
              <w:bidi w:val="0"/>
              <w:adjustRightInd/>
              <w:snapToGrid/>
              <w:spacing w:line="240" w:lineRule="auto"/>
              <w:rPr>
                <w:rFonts w:ascii="Calibri" w:hAnsi="Calibri" w:eastAsia="宋体" w:cs="Times New Roman"/>
                <w:color w:val="auto"/>
                <w:sz w:val="21"/>
                <w:szCs w:val="21"/>
                <w:highlight w:val="none"/>
              </w:rPr>
            </w:pPr>
          </w:p>
        </w:tc>
        <w:tc>
          <w:tcPr>
            <w:tcW w:w="405" w:type="dxa"/>
            <w:noWrap w:val="0"/>
            <w:vAlign w:val="center"/>
          </w:tcPr>
          <w:p w14:paraId="07049BF2">
            <w:pPr>
              <w:keepNext/>
              <w:keepLines/>
              <w:pageBreakBefore w:val="0"/>
              <w:widowControl/>
              <w:kinsoku/>
              <w:wordWrap/>
              <w:overflowPunct/>
              <w:topLinePunct w:val="0"/>
              <w:autoSpaceDE/>
              <w:autoSpaceDN/>
              <w:bidi w:val="0"/>
              <w:adjustRightInd/>
              <w:snapToGrid/>
              <w:spacing w:line="240" w:lineRule="auto"/>
              <w:jc w:val="center"/>
              <w:rPr>
                <w:rFonts w:hint="eastAsia" w:ascii="Calibri" w:hAnsi="Calibri" w:eastAsia="宋体" w:cs="Times New Roman"/>
                <w:color w:val="auto"/>
                <w:sz w:val="21"/>
                <w:szCs w:val="21"/>
                <w:highlight w:val="none"/>
                <w:lang w:eastAsia="zh-CN"/>
              </w:rPr>
            </w:pPr>
            <w:r>
              <w:rPr>
                <w:rFonts w:hint="eastAsia" w:ascii="Calibri" w:hAnsi="Calibri" w:eastAsia="宋体" w:cs="Times New Roman"/>
                <w:color w:val="auto"/>
                <w:sz w:val="21"/>
                <w:szCs w:val="21"/>
                <w:highlight w:val="none"/>
                <w:lang w:val="en-US" w:eastAsia="zh-CN"/>
              </w:rPr>
              <w:t>1</w:t>
            </w:r>
          </w:p>
        </w:tc>
        <w:tc>
          <w:tcPr>
            <w:tcW w:w="7712" w:type="dxa"/>
            <w:noWrap w:val="0"/>
            <w:vAlign w:val="top"/>
          </w:tcPr>
          <w:p w14:paraId="20B5FDF8">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default" w:ascii="Calibri" w:hAnsi="Calibri" w:eastAsia="宋体" w:cs="Times New Roman"/>
                <w:color w:val="auto"/>
                <w:sz w:val="21"/>
                <w:szCs w:val="21"/>
                <w:highlight w:val="none"/>
                <w:lang w:val="en-US" w:eastAsia="zh-CN"/>
              </w:rPr>
            </w:pPr>
            <w:r>
              <w:rPr>
                <w:rFonts w:hint="eastAsia" w:ascii="Calibri" w:hAnsi="Calibri" w:eastAsia="宋体" w:cs="Times New Roman"/>
                <w:color w:val="auto"/>
                <w:sz w:val="21"/>
                <w:szCs w:val="21"/>
                <w:highlight w:val="none"/>
                <w:lang w:val="en-US" w:eastAsia="zh-CN"/>
              </w:rPr>
              <w:t>一、服务范围</w:t>
            </w:r>
          </w:p>
          <w:p w14:paraId="0DA17333">
            <w:pPr>
              <w:spacing w:line="240" w:lineRule="auto"/>
              <w:ind w:firstLine="420" w:firstLineChars="200"/>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1.常规医用衣物被服。普通患者使用的衣物、床单、被罩、枕套；工作人员使用的工作服、值班床单、被罩、枕套；非手术室的手术衣、铺单等布类用品；供应室布类用品；病床隔帘、窗帘、毛毯等。洗涤数量：约2.9万件/月，预算金额为</w:t>
            </w:r>
            <w:r>
              <w:rPr>
                <w:rFonts w:hint="eastAsia" w:ascii="宋体" w:hAnsi="宋体" w:eastAsia="宋体" w:cs="Times New Roman"/>
                <w:color w:val="auto"/>
                <w:szCs w:val="21"/>
                <w:highlight w:val="none"/>
                <w:lang w:val="en-US" w:eastAsia="zh-CN"/>
              </w:rPr>
              <w:t>928456.32</w:t>
            </w:r>
            <w:r>
              <w:rPr>
                <w:rFonts w:hint="default" w:ascii="宋体" w:hAnsi="宋体" w:eastAsia="宋体" w:cs="宋体"/>
                <w:color w:val="auto"/>
                <w:szCs w:val="21"/>
                <w:highlight w:val="none"/>
                <w:lang w:val="en-US" w:eastAsia="zh-CN"/>
              </w:rPr>
              <w:t>元/2年，根据实际结算。</w:t>
            </w:r>
          </w:p>
          <w:p w14:paraId="78738FEC">
            <w:pPr>
              <w:spacing w:line="240" w:lineRule="auto"/>
              <w:ind w:firstLine="420" w:firstLineChars="200"/>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2.感染性衣物被服。医院内感染性疾病患者使用后的，或被患者血液、体液、分泌物和排泄物等污染的衣物被服。手术室的手术衣、铺单等手术布类用品。</w:t>
            </w:r>
          </w:p>
          <w:p w14:paraId="2B8D4392">
            <w:pPr>
              <w:spacing w:line="240" w:lineRule="auto"/>
              <w:ind w:firstLine="420" w:firstLineChars="200"/>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3.清洁污垢包括：人体污渍、血渍、排泄物、药渍、食物油渍、笔墨等各种污渍。</w:t>
            </w:r>
          </w:p>
          <w:p w14:paraId="1B340AD0">
            <w:pPr>
              <w:spacing w:line="240" w:lineRule="auto"/>
              <w:ind w:firstLine="420" w:firstLineChars="200"/>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4.收送工作包括：各部门每天一收一送（含节假日），即到医院各部门、行政后勤各科室等所有部门收一次污衣、送一次洁衣的整个过程服务。</w:t>
            </w:r>
          </w:p>
          <w:p w14:paraId="41BE0A7E">
            <w:pPr>
              <w:spacing w:line="240" w:lineRule="auto"/>
              <w:ind w:firstLine="420" w:firstLineChars="200"/>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5.需打包消毒布草，必须按照采购人要求。</w:t>
            </w:r>
          </w:p>
          <w:p w14:paraId="0F455CA3">
            <w:pPr>
              <w:spacing w:line="240" w:lineRule="auto"/>
              <w:ind w:firstLine="420" w:firstLineChars="200"/>
              <w:rPr>
                <w:rFonts w:hint="default" w:ascii="Calibri" w:hAnsi="Calibri" w:eastAsia="宋体" w:cs="Times New Roman"/>
                <w:color w:val="auto"/>
                <w:sz w:val="21"/>
                <w:szCs w:val="21"/>
                <w:highlight w:val="none"/>
                <w:lang w:val="en-US" w:eastAsia="zh-CN"/>
              </w:rPr>
            </w:pPr>
            <w:r>
              <w:rPr>
                <w:rFonts w:hint="default" w:ascii="宋体" w:hAnsi="宋体" w:eastAsia="宋体" w:cs="宋体"/>
                <w:color w:val="auto"/>
                <w:szCs w:val="21"/>
                <w:highlight w:val="none"/>
                <w:lang w:val="en-US" w:eastAsia="zh-CN"/>
              </w:rPr>
              <w:t>6.衣物接收地点为各科室，登记造册并与各科室工作人员确认。每月提交详细报表。</w:t>
            </w:r>
          </w:p>
        </w:tc>
      </w:tr>
      <w:tr w14:paraId="18F66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07" w:hRule="atLeast"/>
        </w:trPr>
        <w:tc>
          <w:tcPr>
            <w:tcW w:w="405" w:type="dxa"/>
            <w:noWrap w:val="0"/>
            <w:vAlign w:val="top"/>
          </w:tcPr>
          <w:p w14:paraId="78E2039C">
            <w:pPr>
              <w:keepNext/>
              <w:keepLines/>
              <w:pageBreakBefore w:val="0"/>
              <w:widowControl/>
              <w:kinsoku/>
              <w:wordWrap/>
              <w:overflowPunct/>
              <w:topLinePunct w:val="0"/>
              <w:autoSpaceDE/>
              <w:autoSpaceDN/>
              <w:bidi w:val="0"/>
              <w:adjustRightInd/>
              <w:snapToGrid/>
              <w:spacing w:line="240" w:lineRule="auto"/>
              <w:rPr>
                <w:rFonts w:ascii="Calibri" w:hAnsi="Calibri" w:eastAsia="宋体" w:cs="Times New Roman"/>
                <w:color w:val="auto"/>
                <w:sz w:val="21"/>
                <w:szCs w:val="21"/>
                <w:highlight w:val="none"/>
              </w:rPr>
            </w:pPr>
          </w:p>
        </w:tc>
        <w:tc>
          <w:tcPr>
            <w:tcW w:w="405" w:type="dxa"/>
            <w:noWrap w:val="0"/>
            <w:vAlign w:val="center"/>
          </w:tcPr>
          <w:p w14:paraId="24FC6947">
            <w:pPr>
              <w:keepNext/>
              <w:keepLines/>
              <w:pageBreakBefore w:val="0"/>
              <w:widowControl/>
              <w:kinsoku/>
              <w:wordWrap/>
              <w:overflowPunct/>
              <w:topLinePunct w:val="0"/>
              <w:autoSpaceDE/>
              <w:autoSpaceDN/>
              <w:bidi w:val="0"/>
              <w:adjustRightInd/>
              <w:snapToGrid/>
              <w:spacing w:line="240" w:lineRule="auto"/>
              <w:jc w:val="center"/>
              <w:rPr>
                <w:rFonts w:hint="default" w:ascii="Calibri" w:hAnsi="Calibri" w:eastAsia="宋体" w:cs="Times New Roman"/>
                <w:color w:val="auto"/>
                <w:sz w:val="21"/>
                <w:szCs w:val="21"/>
                <w:highlight w:val="none"/>
                <w:lang w:val="en-US" w:eastAsia="zh-CN"/>
              </w:rPr>
            </w:pPr>
            <w:r>
              <w:rPr>
                <w:rFonts w:hint="eastAsia" w:ascii="Calibri" w:hAnsi="Calibri" w:eastAsia="宋体" w:cs="Times New Roman"/>
                <w:color w:val="auto"/>
                <w:sz w:val="21"/>
                <w:szCs w:val="21"/>
                <w:highlight w:val="none"/>
                <w:lang w:val="en-US" w:eastAsia="zh-CN"/>
              </w:rPr>
              <w:t>2</w:t>
            </w:r>
          </w:p>
        </w:tc>
        <w:tc>
          <w:tcPr>
            <w:tcW w:w="7712" w:type="dxa"/>
            <w:noWrap w:val="0"/>
            <w:vAlign w:val="top"/>
          </w:tcPr>
          <w:p w14:paraId="6B622BE3">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Calibri" w:hAnsi="Calibri" w:eastAsia="宋体" w:cs="Times New Roman"/>
                <w:color w:val="auto"/>
                <w:sz w:val="21"/>
                <w:szCs w:val="21"/>
                <w:highlight w:val="none"/>
                <w:lang w:val="en-US" w:eastAsia="zh-CN"/>
              </w:rPr>
            </w:pPr>
            <w:r>
              <w:rPr>
                <w:rFonts w:hint="eastAsia" w:ascii="Calibri" w:hAnsi="Calibri" w:eastAsia="宋体" w:cs="Times New Roman"/>
                <w:color w:val="auto"/>
                <w:kern w:val="2"/>
                <w:sz w:val="21"/>
                <w:szCs w:val="21"/>
                <w:highlight w:val="none"/>
                <w:lang w:val="en-US" w:eastAsia="zh-CN" w:bidi="ar-SA"/>
              </w:rPr>
              <w:t>二、</w:t>
            </w:r>
            <w:r>
              <w:rPr>
                <w:rFonts w:hint="eastAsia" w:ascii="Calibri" w:hAnsi="Calibri" w:eastAsia="宋体" w:cs="Times New Roman"/>
                <w:color w:val="auto"/>
                <w:sz w:val="21"/>
                <w:szCs w:val="21"/>
                <w:highlight w:val="none"/>
                <w:lang w:val="en-US" w:eastAsia="zh-CN"/>
              </w:rPr>
              <w:t>采购项目技术要求</w:t>
            </w:r>
          </w:p>
          <w:p w14:paraId="22DD7F69">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1.总体要求：</w:t>
            </w:r>
          </w:p>
          <w:p w14:paraId="2796049A">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（1）★投标人拟用于本项目的洗涤场所、机器设备及所有洗涤流程均须符合行业最新《医疗机构医用织物洗涤消毒技术规范》中管理要求、 建筑布局与设施要求、操作流程与防护‌、质量控制与检测‌等系列要求。工作流程应由污到洁，不交叉、不逆行。根据医用织物使用对象和污渍性质、程度不同，应分专机或分批洗涤、消毒。</w:t>
            </w:r>
          </w:p>
          <w:p w14:paraId="6D4175C6">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（2）★投标人如获中标资格，不得将本项目以任何形式分包或转包给第三方，如有违反，采购人有权终止与中标人签订的采购服务合同。</w:t>
            </w:r>
          </w:p>
          <w:p w14:paraId="3BE2095F">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2.技术要求</w:t>
            </w:r>
          </w:p>
          <w:p w14:paraId="65ACDA7C">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（1）▲投标人就本项目至少配备3套前进后出隔离式专业洗衣机。</w:t>
            </w:r>
          </w:p>
          <w:p w14:paraId="45435CB4">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如经调查核实并双方确认，衣服出现混洗、混干等现象，在不对采购人造成利益损害的情况下，采购人有权扣罚当月洗涤服务费1000元。如对采购人造成利益损害的（例如出现院内感染等情况），采购人有权追究由此所造成一切责任，并有权无条件随时终止合同。</w:t>
            </w:r>
          </w:p>
          <w:p w14:paraId="1804F54C">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3.▲洁净度要求</w:t>
            </w:r>
          </w:p>
          <w:p w14:paraId="1DA40584">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（1）符合行业最新《医疗机构医用织物洗涤消毒技术规范》要求的医用织物洗涤消毒技术规范。</w:t>
            </w:r>
          </w:p>
          <w:p w14:paraId="2AD34C90">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（2）洗涤衣物被服过水漂洗要透彻，避免因洗涤剂残留导致衣物被服出现泛黄变色或布类表面触摸有黏涩感。洗涤后的干净衣物被服表面pH应达到6.5~7.5。</w:t>
            </w:r>
          </w:p>
          <w:p w14:paraId="3429AF10">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（3）对沾染污垢或被染色的部位，应做到清洗还原后与布料原色基本保持一致。</w:t>
            </w:r>
          </w:p>
          <w:p w14:paraId="77F41CC7">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（4）洗涤后的干净衣物被服微生物指标应符合下表要求</w:t>
            </w:r>
          </w:p>
          <w:tbl>
            <w:tblPr>
              <w:tblStyle w:val="4"/>
              <w:tblW w:w="8329" w:type="dxa"/>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241"/>
              <w:gridCol w:w="4088"/>
            </w:tblGrid>
            <w:tr w14:paraId="5F00AB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41" w:type="dxa"/>
                  <w:tcBorders>
                    <w:top w:val="single" w:color="000000" w:sz="4" w:space="0"/>
                    <w:left w:val="single" w:color="000000" w:sz="4" w:space="0"/>
                    <w:bottom w:val="single" w:color="000000" w:sz="4" w:space="0"/>
                    <w:right w:val="single" w:color="000000" w:sz="4" w:space="0"/>
                  </w:tcBorders>
                  <w:vAlign w:val="top"/>
                </w:tcPr>
                <w:p w14:paraId="3DF6019A">
                  <w:pP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w:t>
                  </w:r>
                </w:p>
              </w:tc>
              <w:tc>
                <w:tcPr>
                  <w:tcW w:w="4088" w:type="dxa"/>
                  <w:tcBorders>
                    <w:top w:val="single" w:color="000000" w:sz="4" w:space="0"/>
                    <w:left w:val="single" w:color="000000" w:sz="4" w:space="0"/>
                    <w:bottom w:val="single" w:color="000000" w:sz="4" w:space="0"/>
                    <w:right w:val="single" w:color="000000" w:sz="4" w:space="0"/>
                  </w:tcBorders>
                  <w:vAlign w:val="top"/>
                </w:tcPr>
                <w:p w14:paraId="57FD006E">
                  <w:pP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指标</w:t>
                  </w:r>
                </w:p>
              </w:tc>
            </w:tr>
            <w:tr w14:paraId="0EAF1A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41" w:type="dxa"/>
                  <w:tcBorders>
                    <w:top w:val="nil"/>
                    <w:left w:val="single" w:color="000000" w:sz="4" w:space="0"/>
                    <w:bottom w:val="single" w:color="000000" w:sz="4" w:space="0"/>
                    <w:right w:val="single" w:color="000000" w:sz="4" w:space="0"/>
                  </w:tcBorders>
                  <w:vAlign w:val="top"/>
                </w:tcPr>
                <w:p w14:paraId="552716C4">
                  <w:pP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细菌菌落总数/（CFU/100cm²）</w:t>
                  </w:r>
                </w:p>
              </w:tc>
              <w:tc>
                <w:tcPr>
                  <w:tcW w:w="4088" w:type="dxa"/>
                  <w:tcBorders>
                    <w:top w:val="nil"/>
                    <w:left w:val="single" w:color="000000" w:sz="4" w:space="0"/>
                    <w:bottom w:val="single" w:color="000000" w:sz="4" w:space="0"/>
                    <w:right w:val="single" w:color="000000" w:sz="4" w:space="0"/>
                  </w:tcBorders>
                  <w:vAlign w:val="top"/>
                </w:tcPr>
                <w:p w14:paraId="75F53FD3">
                  <w:pP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≤200</w:t>
                  </w:r>
                </w:p>
              </w:tc>
            </w:tr>
            <w:tr w14:paraId="6AA402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41" w:type="dxa"/>
                  <w:tcBorders>
                    <w:top w:val="nil"/>
                    <w:left w:val="single" w:color="000000" w:sz="4" w:space="0"/>
                    <w:bottom w:val="single" w:color="000000" w:sz="4" w:space="0"/>
                    <w:right w:val="single" w:color="000000" w:sz="4" w:space="0"/>
                  </w:tcBorders>
                  <w:vAlign w:val="top"/>
                </w:tcPr>
                <w:p w14:paraId="30979DD3">
                  <w:pP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大肠菌群</w:t>
                  </w:r>
                </w:p>
              </w:tc>
              <w:tc>
                <w:tcPr>
                  <w:tcW w:w="4088" w:type="dxa"/>
                  <w:tcBorders>
                    <w:top w:val="nil"/>
                    <w:left w:val="single" w:color="000000" w:sz="4" w:space="0"/>
                    <w:bottom w:val="single" w:color="000000" w:sz="4" w:space="0"/>
                    <w:right w:val="single" w:color="000000" w:sz="4" w:space="0"/>
                  </w:tcBorders>
                  <w:vAlign w:val="top"/>
                </w:tcPr>
                <w:p w14:paraId="411CE368">
                  <w:pP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不得检出</w:t>
                  </w:r>
                </w:p>
              </w:tc>
            </w:tr>
            <w:tr w14:paraId="523144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41" w:type="dxa"/>
                  <w:tcBorders>
                    <w:top w:val="nil"/>
                    <w:left w:val="single" w:color="000000" w:sz="4" w:space="0"/>
                    <w:bottom w:val="single" w:color="000000" w:sz="4" w:space="0"/>
                    <w:right w:val="single" w:color="000000" w:sz="4" w:space="0"/>
                  </w:tcBorders>
                  <w:vAlign w:val="top"/>
                </w:tcPr>
                <w:p w14:paraId="3E9DCD9C">
                  <w:pP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金黄色葡萄球菌</w:t>
                  </w:r>
                </w:p>
              </w:tc>
              <w:tc>
                <w:tcPr>
                  <w:tcW w:w="4088" w:type="dxa"/>
                  <w:tcBorders>
                    <w:top w:val="nil"/>
                    <w:left w:val="single" w:color="000000" w:sz="4" w:space="0"/>
                    <w:bottom w:val="single" w:color="000000" w:sz="4" w:space="0"/>
                    <w:right w:val="single" w:color="000000" w:sz="4" w:space="0"/>
                  </w:tcBorders>
                  <w:vAlign w:val="top"/>
                </w:tcPr>
                <w:p w14:paraId="2402899B">
                  <w:pP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不得检出</w:t>
                  </w:r>
                </w:p>
              </w:tc>
            </w:tr>
          </w:tbl>
          <w:p w14:paraId="1F0855FC">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4.洗涤设备、用水及用品要求</w:t>
            </w:r>
          </w:p>
          <w:p w14:paraId="38EFF33B">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（1）投标人的洗涤和烘干设备应选用经国家检测合格、有加热功能的专用洗涤和烘干设备。洗涤设备数量充足，能供采购人各品种衣物被服专机专洗。</w:t>
            </w:r>
          </w:p>
          <w:p w14:paraId="75830959">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（2）洗涤用水的卫生质量应符合最新《生活饮用水卫生标准》要求。</w:t>
            </w:r>
          </w:p>
          <w:p w14:paraId="53C6F09C">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（3）洗涤剂、消毒剂及消毒器械应符合最新《医疗机构医用织物洗涤消毒技术规范》要求。</w:t>
            </w:r>
          </w:p>
          <w:p w14:paraId="5A105673">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5.衣物被服的分类洗涤和消毒要求</w:t>
            </w:r>
          </w:p>
          <w:p w14:paraId="283F3152">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病人、医务人员、儿童婴儿的衣物被服须分开洗涤、分开消毒，感染性衣物被服使用专用洗衣机清洗、消毒，做到工作被服与病人被服分开，传染病病服与非传染病病服分开，妇、儿科与其它科病人被服分开，有色与无色被服分开，重污染和轻污染被服分开，棉化纤分开，烘干分开同时不得与其他医院的衣物混洗、混烘干、混放等，要求专机专洗，不得出现混洗情况。</w:t>
            </w:r>
          </w:p>
          <w:p w14:paraId="3E6BC753">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一般脏污衣物被服：包括医务人员值班被服、行政后勤科室出洗衣物。其洗涤消毒方法（仅供参考，具体按最新《医疗机构医用织物洗涤消毒技术规范》标准执行）：棉质衣物用1%消毒洗涤剂70℃以上温度（化纤物只宜40℃～60℃）在洗涤设备内洗30 min，再用清水漂洗不少于2次。</w:t>
            </w:r>
          </w:p>
          <w:p w14:paraId="725131DA">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具有一定感染性风险的衣物被服：包括医务人员工作服、病人衣物被服、手术类衣物被服、可重复使用的污衣收集布袋。根据受污染程度分为：无明显污染；有明显血、脓、便污染；特殊感染性污染三类。其洗涤消毒方法分别为（仅供参考，具体按最新《医疗机构医用织物洗涤消毒技术规范》标准执行）：</w:t>
            </w:r>
          </w:p>
          <w:p w14:paraId="0D718B41">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1）无明显污染的衣物被服：用含有效氯500mg/L的消毒剂溶液洗涤30～60分钟，然后用清水漂净。</w:t>
            </w:r>
          </w:p>
          <w:p w14:paraId="7BE6D3EE">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2）有明显血、脓、便污染的衣物被服：在用热水洗涤前，先用冷洗涤液或1%～2%冷碱水将血、脓、便等有机物洗净，将该洗液煮沸消毒弃去，经清水漂洗后，再按第1）条洗涤消毒。</w:t>
            </w:r>
          </w:p>
          <w:p w14:paraId="6C7E50C8">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特殊感染性污染的衣物被服：指受特殊病原体污染的衣被，即用感染性橘红色塑料袋或特殊专用污衣布袋包装的、有明显标识的衣被。先用1000mg/L含氯消毒剂浸泡消毒一小时，再按第1）条洗涤消毒，并指定专人、专机清洗。</w:t>
            </w:r>
          </w:p>
          <w:p w14:paraId="401473B1">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6.衣物被服晾（烘）干、熨烫、摺叠、储存要求</w:t>
            </w:r>
          </w:p>
          <w:p w14:paraId="1C1F235B">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对病人、医务人员、儿童婴儿的衣物被服，一般脏污和具有一定感染性风险的衣物被服，洗涤消毒后要分区晾（烘）干、熨烫、摺叠和储存，不得混杂。熨烫时要特别注意曾受或易受污染之处。尤其是儿童婴儿的衣物被服应有专用烘干、熨烫、摺叠、储存处，不可与其他衣被混淆。</w:t>
            </w:r>
          </w:p>
          <w:p w14:paraId="582FE30C">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7.缝补要求</w:t>
            </w:r>
          </w:p>
          <w:p w14:paraId="2247DE3E">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（1）医务人员工作服和病人服如出现有破损处或缺失钮扣的，应及时缝补缝钉；</w:t>
            </w:r>
          </w:p>
          <w:p w14:paraId="6D59420D">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（2）手术室布类如有破损，应及时缝补，缝补针迹要均匀、整齐；手术衣等缺失钮扣的，补钉的钮扣大小、颜色应与原钮扣基本一致，不可过大、过小或色差过大；</w:t>
            </w:r>
          </w:p>
          <w:p w14:paraId="5034FD1A">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（3）破损衣物需缝补的，应在双方交接时向采购人提供补衣单，标明名称及数量，缝补时间不得超过两天。</w:t>
            </w:r>
          </w:p>
          <w:p w14:paraId="371078B8">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8.▲洗涤衣物被服的质量要求</w:t>
            </w:r>
          </w:p>
          <w:p w14:paraId="0D4E27E6">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（1）每季度主动向采购人提交一次第三方有资质公司出具的相关检测报告，对洗涤衣被消毒效果进行监测，检测结果须合格。</w:t>
            </w:r>
          </w:p>
          <w:p w14:paraId="0DD18C0A">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（2）洗涤衣被要做到整洁干燥，无异味、无污渍、无血渍、无破损。</w:t>
            </w:r>
          </w:p>
          <w:p w14:paraId="679EB8B6">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（3）免费对有破损、掉钮扣的衣物进行修补，实在无法缝补的，向采购人申请办理衣物报废。</w:t>
            </w:r>
          </w:p>
          <w:p w14:paraId="3A4534E7">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（4）质量不达标（有污迹、未缝补）应及时回洗。</w:t>
            </w:r>
          </w:p>
          <w:p w14:paraId="1692D8F9">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9.衣物被服收集运送要求</w:t>
            </w:r>
          </w:p>
          <w:p w14:paraId="29D97F67">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（1）医务人员、病人、儿童婴儿的脏污衣被必须分开、分类清点和收集，并分袋独立扎带封口包装，不得混放。</w:t>
            </w:r>
          </w:p>
          <w:p w14:paraId="774A4FC2">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（2）每天按规定时间到医院收、送衣物，按数量送回洁衣，不能丢失衣物。</w:t>
            </w:r>
          </w:p>
          <w:p w14:paraId="7F95CD68">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（3）收送人员须做好个人防护措施，如穿戴防护服、手套、口罩、帽子等。</w:t>
            </w:r>
          </w:p>
          <w:p w14:paraId="20EAAC7D">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（4）▲根据采购人需求随时增加衣物的运送次数。特殊情况下（如紧急、突发事件等）在接到医院电话后，需在60分钟内安排车辆到达，及时清洗以满足临床特殊需求。</w:t>
            </w:r>
          </w:p>
          <w:p w14:paraId="3DC817E2">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10.衣物被服收集运送工具配置要求</w:t>
            </w:r>
          </w:p>
          <w:p w14:paraId="53D92726">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（1）运送车辆：运送机动车辆必须达标，分别用于接收污衣和送洁净衣物，污衣和洁衣分车运送，不应同一辆车将污衣洁衣被混合运送。</w:t>
            </w:r>
          </w:p>
          <w:p w14:paraId="37BF1FC1">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（2）运送通道：必须按采购人规定的洁污专用通道装卸衣被，不得交叉通行。</w:t>
            </w:r>
          </w:p>
          <w:p w14:paraId="508326AC">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（3）收送衣被容器：收集袋应分类使用，应保持密闭直至清洗。</w:t>
            </w:r>
          </w:p>
          <w:p w14:paraId="4B7F47BB">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11.洗衣房环境要求</w:t>
            </w:r>
          </w:p>
          <w:p w14:paraId="312BC2EA">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（1）应设有办公区域和工作区域。</w:t>
            </w:r>
          </w:p>
          <w:p w14:paraId="27EF9383">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（2）工作区域内部布局合理，分污染区、半污染区、清洁区，区域划分清楚并有明显的标志，各区间有完全隔离屏障。</w:t>
            </w:r>
          </w:p>
          <w:p w14:paraId="3B47BE5C">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（3）应设有工作人员、衣物被服接收与发放的专用通道。</w:t>
            </w:r>
          </w:p>
          <w:p w14:paraId="68151183">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（4）污染区为病人污衣物接收、分检、清点、处理、洗涤消毒间；半污染区为医务人员污衣物接收、分检、清点、处理及洗涤消毒间；清洁区为洁净衣物晾（烘）干、熨烫、缝补、摺叠、储存、发送间。</w:t>
            </w:r>
          </w:p>
          <w:p w14:paraId="481EA6FF">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（5）排水设施完善；有防蝇防鼠等有害生物防制设施。</w:t>
            </w:r>
          </w:p>
          <w:p w14:paraId="78395E3B">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12.洗衣房各区域流程的使用及工作要求</w:t>
            </w:r>
          </w:p>
          <w:p w14:paraId="290568C2">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（1）设洁污人流、物流通道。人流由洁到污，物流由污到洁，顺行通过，不得交叉或逆行。</w:t>
            </w:r>
          </w:p>
          <w:p w14:paraId="5C6C350D">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（2）工作人员严格按工作流程指引，做好防护措施出入各区域，防护用品包括：工作服、口罩、手套、帽子、隔离衣、水鞋或塑胶密封胶鞋等。</w:t>
            </w:r>
          </w:p>
          <w:p w14:paraId="746292ED">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（3）各区域工作人员分工合作，不得在各区域随意走动，严禁由污染区未经更衣换鞋到清洁区，工作人员进入洗洁衣物储存，必须洗手、换入室清洁拖鞋。患有化脓性皮肤病工作人员不得参与熨烫、摺叠衣物。</w:t>
            </w:r>
          </w:p>
          <w:p w14:paraId="1D07D966">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13.洗衣房环境卫生、运送工具的清洁消毒要求：</w:t>
            </w:r>
          </w:p>
          <w:p w14:paraId="0F9F1E48">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（1）半污染区、污染区的清洁消毒：上班时打开窗户、保持良好通风，上、下午工作后用含500mg/L有效氯溶液拖地一次后，用紫外线灯照射1小时，并做好相关登记记录。</w:t>
            </w:r>
          </w:p>
          <w:p w14:paraId="293C4237">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（2）清洁区的保洁：上班时开窗通风，用清水擦拭桌、椅、工作台面、拖地一次，保持清洁。下班时关闭门窗，减少灰尘和风沙，地面再用清水拖擦一次。</w:t>
            </w:r>
          </w:p>
          <w:p w14:paraId="5669961A">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（3）运送车辆每天运输工作结束后，必须用1000mg/L含氯消毒剂进行车内外喷雾至表面湿润，作用60min，并做好相关记录。</w:t>
            </w:r>
          </w:p>
          <w:p w14:paraId="67C7BAF2">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（4）洗衣房的污衣装卸手推车每日用1000mg/L含氯消毒剂擦拭消毒，洁衣手推车每日用清水进行擦拭。</w:t>
            </w:r>
          </w:p>
          <w:p w14:paraId="58A54740">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（5）收集衣被容器亦须定期消毒。</w:t>
            </w:r>
          </w:p>
          <w:p w14:paraId="48720549">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（6）清洁卫生用具分区标识，分区使用，不准跨区，用后清洁消毒、洗净挂起晾干。</w:t>
            </w:r>
          </w:p>
          <w:p w14:paraId="081FEBF9">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（7）洗衣房的洗涤设备在洗衣后应擦拭消毒，洗衣房洗后处理区及清洁区应配备空气消毒设施并定期消毒。</w:t>
            </w:r>
          </w:p>
          <w:p w14:paraId="5B1C50EB">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（8）对洗后衣物、工作区空气、洗衣机把手、熨烫台等每月进行监测。</w:t>
            </w:r>
          </w:p>
          <w:p w14:paraId="1499B65B">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14.洗衣房人员要求</w:t>
            </w:r>
          </w:p>
          <w:p w14:paraId="07EAA664">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（1）工作人员上岗前体检，直接从事织物洗涤的工作人员上岗前必须到卫生防疫机构进行一次健康体检和消毒卫生知识及有关卫生标准的培训，取得健康体检合格证明和卫生培训合格证后方可上岗。</w:t>
            </w:r>
          </w:p>
          <w:p w14:paraId="3BB4404F">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（2）患有活动性肺结核、病毒性肝炎、肠道传染病患者及病原携带者，化脓性或慢性渗出性皮肤病等传染病患者不得从事洗衣工作。</w:t>
            </w:r>
          </w:p>
          <w:p w14:paraId="4BB5A527">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（3）工作人员必须严格执行洗衣房工作制度及各种工作流程。</w:t>
            </w:r>
          </w:p>
          <w:p w14:paraId="0635F71D">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（4）工作前后，特别是处理了污染或具有传染性的衣被后，必须用肥皂流水洗手，保持手卫生。</w:t>
            </w:r>
          </w:p>
          <w:p w14:paraId="329E7E77">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（5）污染区工作人员工作时应戴帽子、手套、口罩、工作服、鞋，并及时更换，不得留长指甲。</w:t>
            </w:r>
          </w:p>
          <w:p w14:paraId="55DFC94D">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15.服务要求</w:t>
            </w:r>
          </w:p>
          <w:p w14:paraId="08BC71D6">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（1）▲实行每天一收一送制度，中标人负责每天（含节假日）到医院，收一次污衣，送一次洁衣。</w:t>
            </w:r>
          </w:p>
          <w:p w14:paraId="0B6D3308">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收污衣时间为上午10：00--12：00，其中收脏污工作服时间在每周一、三、五上午12点前，洗手衣每天收洗；收污衣时间可根据采购人实际需求相应调整。送洁衣时间为上午7：00--10：00，其中供应室（主要有手术室衣物布类、产科儿科衣物被服）送洁衣时间为下午2:00。当天送洗的衣物次日须送回科室。</w:t>
            </w:r>
          </w:p>
          <w:p w14:paraId="6A874570">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（3）衣物收、送、清点工作由收送人员和各科室工作人员共同完成。</w:t>
            </w:r>
          </w:p>
          <w:p w14:paraId="55F92289">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1）收污衣：每次收污衣登记好衣物被服的品种数量，由中标人收送人员和被服管理工作人员双方签名确认。</w:t>
            </w:r>
          </w:p>
          <w:p w14:paraId="772AB826">
            <w:pPr>
              <w:spacing w:line="24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送洁衣：每次送洁衣按前一天收污衣时签名/确认的品种及数量为准验收。在此基础上，按医院各科室需求洁衣的品种及数量，按科室分类打包好，由中标人收送人员送至医院各科室。洁净工作服，则按前一天收脏污工作服的所在科室和件数，以及工作服上标明的科室和工号，分科室打包送回。洁衣袋必须保证洁净，不可有破损霉烂。</w:t>
            </w:r>
          </w:p>
          <w:p w14:paraId="071A5D82">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3）欠数：工作服原则上不接受欠数，前一天出洗多少件脏污工作服，每次就要送回多少件洁净工作服。</w:t>
            </w:r>
          </w:p>
          <w:p w14:paraId="0BD36A42">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其他衣物被服，如因缝补等问题，不能按前一天出洗污衣的量全数送回洁衣，须以纸质欠条的形式注明欠衣物品种及数量，并必须在第二天送回。</w:t>
            </w:r>
          </w:p>
          <w:p w14:paraId="063DAD5B">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中标人在收污衣时候，需将普通病患、工作人员、儿童婴儿、非手术室的手术布类用品等非感染性的污衣分开打包、扎带封口，宜用可重复使用的专用污衣布袋或包装箱（桶）收集；具有感染性的污衣宜用橘红色的污衣收集塑料袋，有标识，并按行业规定作特殊强化洗涤与消毒处理。</w:t>
            </w:r>
          </w:p>
          <w:p w14:paraId="6A14A596">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5）洗衣单、回洗单、衣物报废单、洗涤服务投诉单等一切单据均由中标人准备：</w:t>
            </w:r>
          </w:p>
          <w:p w14:paraId="15B44D3A">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洗衣单（内容包含出洗时间、出洗污衣品种和数量、送回洁衣品种和数量、签名确认等）；</w:t>
            </w:r>
          </w:p>
          <w:p w14:paraId="61712498">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回洗单（内容包含回洗时间，回洗衣物品种和数量、签名确认等）；</w:t>
            </w:r>
          </w:p>
          <w:p w14:paraId="16AD6867">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衣物报废单（内容包含报废时间、报废衣物品种和数量、报废原因、双方签名确认等）；</w:t>
            </w:r>
          </w:p>
          <w:p w14:paraId="49A1C950">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洗涤服务投诉单【内容包含投诉时间、投诉科室、投诉内容（如服务态度、收送时间、数量不够等）、处理结果、双方签名确认等】。</w:t>
            </w:r>
          </w:p>
          <w:p w14:paraId="7EFF7A35">
            <w:pPr>
              <w:spacing w:line="240" w:lineRule="auto"/>
              <w:ind w:firstLine="420" w:firstLineChars="200"/>
              <w:rPr>
                <w:rFonts w:hint="eastAsia" w:ascii="宋体" w:hAnsi="宋体" w:eastAsia="宋体" w:cs="宋体"/>
                <w:color w:val="auto"/>
                <w:sz w:val="21"/>
                <w:szCs w:val="21"/>
                <w:highlight w:val="none"/>
                <w:lang w:val="en-US" w:eastAsia="zh-CN"/>
              </w:rPr>
            </w:pPr>
          </w:p>
          <w:p w14:paraId="406B5E73">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所有单据均一式二联，必须有采购人签名确认的单据为有效。二联存放：中标人第一联、各科室第二联。</w:t>
            </w:r>
          </w:p>
          <w:p w14:paraId="473A6B30">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6）中标人对采购人出洗的衣物被服，须洗净、烘干、熨平、叠好，还须对破损或钮扣跌落的衣物被服免费缝补及补钉钮扣。</w:t>
            </w:r>
          </w:p>
          <w:p w14:paraId="4402B957">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对采购人出洗的衣物被服要专机专洗，病人、医务人员、儿童婴儿、手术布类用品的衣物被服分开洗涤、分开烘干，感染性衣物被服使用专用洗衣机清洗、烘干。同时不得与其他医院的衣物混洗、混烘干、混放、混送等。</w:t>
            </w:r>
          </w:p>
          <w:p w14:paraId="45D195AE">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8）关于报废率：</w:t>
            </w:r>
          </w:p>
          <w:p w14:paraId="765D1726">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（a）中标人免责赔付范围：每月采购人报废率限2.5‰（每月洗涤总量件）（含手术室人为报废）。</w:t>
            </w:r>
          </w:p>
          <w:p w14:paraId="4BC6C25A">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（b）每月采购人报废率超出2.5‰-5‰（每月洗涤总量件）部分，中标人向采购人支付采购人仓库的购进价每件50%的赔偿金。</w:t>
            </w:r>
          </w:p>
          <w:p w14:paraId="5A554B15">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（c）每月采购人报废率大于5‰（每月洗涤总量件）部分，中标人向采购人支付采购人仓库的购进价每件80%的赔偿金。报废后的衣物被服经采购人同意后可交由中标人作补料使用。</w:t>
            </w:r>
          </w:p>
          <w:p w14:paraId="0F60E3B7">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关于回洗：按时、按量、保证质量完成采购人交予的洗涤和收送任务，若因中标人导致衣物被服洗涤质量达不到正常卫生标准，影响采购人衣物被服供应和使用的，应在送洁衣时双方交接时提出并立即退回给中标人免费回洗，填写回洗单，双方确认签名，在次日送洁衣时一并送回，回洗的数量不能计入采购人的洗涤费用中。若每月全院回洗总量超过100件（不含100件），超出部分以人民币10元（人民币壹拾元）/件计算，在中标人当月洗涤服务费中扣罚。</w:t>
            </w:r>
          </w:p>
          <w:p w14:paraId="097F6A68">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关于投诉：科室投诉中标人不按规定时间收送（特殊情况需提前跟采购人沟通）、送洁衣数量不够且欠数多迟未归还（依据前一天污衣数量）、污衣袋/洁衣袋不够周转、破损衣物没有缝补、服务态度差（与医院人员发生争吵等）等问题，以上各种投诉情况每发生一次，经查属实，均以人民币100元（人民币壹佰元）/次投诉计算，在中标人当月洗涤服务费中扣罚。如导致员工、患者身体不适、或者引发医疗纠纷的，将扣除当月洗涤费的1%。</w:t>
            </w:r>
          </w:p>
          <w:p w14:paraId="145B73A3">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11）每月中标人对污衣洁衣的数量和品种、报废数量和品种进行对账，填写报表于每月7号前交采购人被服组工作人员，被服组工作人员对该表进行核实。</w:t>
            </w:r>
          </w:p>
          <w:p w14:paraId="17A138C7">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中标人需派负责人每月到采购人各科室和管理部门充分听取洗涤服务工作质量意见，备收集问题登记本，对出现的问题限一周内处理，不断改进收送服务和洗涤工作质量等。如无故未处理问题的，每发生一次，以人民币50元（人民币伍拾元整）/次计算，在中标人当月洗涤服务费中扣罚。</w:t>
            </w:r>
          </w:p>
          <w:p w14:paraId="5A3D82CD">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（以上所有罚款累计在当月洗涤服务费中一并扣除，若洗涤服务费不足以扣除金额，超出部分在履约保证金中扣除。）</w:t>
            </w:r>
          </w:p>
          <w:p w14:paraId="6721C7A6">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关于丢失衣物：中标人在服务期内，如有丢失洗涤衣物应在3日内补回；如超出3天未补回则按原价赔偿。每月需对采购人基数以外的洗涤部分进行清点，并上报采购人，经采购人核数确定丢失数量、品种。中标人每月对丢失的衣物，按该衣物采购人进货价原价赔偿。当月丢失衣物的赔偿费，在下一月的洗涤服务费中扣罚。</w:t>
            </w:r>
          </w:p>
          <w:p w14:paraId="34C331C8">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在不对采购人造成利益损害的情况下，若中标人服务不达标，采购人有权提出人民币伍仟元以内（含）的罚款，在履约保证金中扣除。若中标人因工作质量问题或失误，对采购人造成利益损害，中标人应当赔偿由此给采购人造成的损失，同时采购人有权解除合同。</w:t>
            </w:r>
          </w:p>
          <w:p w14:paraId="5B100202">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15）关于技术性的赔付：由于中标人的原因造成衣物的污染及非正常损坏（包括机械故障）导致无法继续使用，中标人应向采购人全额赔偿更换被服购置费用。</w:t>
            </w:r>
          </w:p>
          <w:p w14:paraId="0A280A16">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16）关于出品质量的扣罚：为提高出品质量的管理，凡送洁净衣物到采购人被抽检出不合格品（如混送、污迹没洗干净、缺钮扣、漏缝补等）将受到每件1元的处罚（月结中扣除）。返洗不计入洗涤数量。</w:t>
            </w:r>
          </w:p>
          <w:p w14:paraId="4149464E">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17）采购人提供洁衣、污衣中转场地（即被服组洁衣贮存库房、污衣清点间），污衣清点间的卫生和消毒（含清洁剂、消毒剂等工具）由中标人负责。采购人不另行提供中标人工作人员的休息场所。</w:t>
            </w:r>
          </w:p>
          <w:p w14:paraId="229E1F4C">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18）中标人无条件接受及配合采购人不定期到中标人的洗涤现场对工作质量进行监督、考察和指导。</w:t>
            </w:r>
          </w:p>
          <w:p w14:paraId="5BABCF17">
            <w:pPr>
              <w:spacing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服务期限内，中标人对采购人出洗的衣物被服，每季度主动向采购人提交一次第三方有资质公司出具的清洗质量细菌检测报告等相关检测报告。如采购人质疑，则由双方共同认可的检测机构，在双方工作人员在场监督下，对衣物被服进行额外抽样检测。每次额外抽检结果若达到最新卫生(洗涤)行业标准，检测费用由采购人负责；若相关检测报告或额外抽测的结果不符合最新卫生(洗涤)行业标准，检测费用则由中标人承担。</w:t>
            </w:r>
          </w:p>
          <w:p w14:paraId="42FE0934">
            <w:pPr>
              <w:spacing w:line="24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Cs w:val="21"/>
                <w:highlight w:val="none"/>
              </w:rPr>
              <w:t>用于收送被服的</w:t>
            </w:r>
            <w:r>
              <w:rPr>
                <w:rFonts w:hint="eastAsia" w:ascii="宋体" w:hAnsi="宋体" w:eastAsia="宋体" w:cs="宋体"/>
                <w:color w:val="auto"/>
                <w:szCs w:val="21"/>
                <w:highlight w:val="none"/>
                <w:lang w:val="en-US" w:eastAsia="zh-CN"/>
              </w:rPr>
              <w:t>桶/袋</w:t>
            </w:r>
            <w:r>
              <w:rPr>
                <w:rFonts w:hint="eastAsia" w:ascii="宋体" w:hAnsi="宋体" w:eastAsia="宋体" w:cs="宋体"/>
                <w:color w:val="auto"/>
                <w:szCs w:val="21"/>
                <w:highlight w:val="none"/>
              </w:rPr>
              <w:t>，均由中标人无偿配置，并负责日常维护、更换及遗失补充。所有重复使用的收纳容器在每次装卸完毕后，须由中标人立即进行清洁消毒，避免交叉感染，所产生的清洗费、耗材费、人工费及运输工具维护费等全部成本，均已包含在投标总价内，</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不再另行支付任何费用</w:t>
            </w:r>
          </w:p>
          <w:p w14:paraId="60B5E1ED">
            <w:pPr>
              <w:spacing w:line="24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w:t>
            </w:r>
            <w:r>
              <w:rPr>
                <w:rFonts w:hint="eastAsia" w:ascii="宋体" w:hAnsi="宋体" w:eastAsia="宋体" w:cs="宋体"/>
                <w:color w:val="auto"/>
                <w:szCs w:val="21"/>
                <w:highlight w:val="none"/>
              </w:rPr>
              <w:t>中标人如有自有的被服全流程监管系统（如RFID芯片或二维码追踪等），可自愿为</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部署使用，相关系统部署、维护等费用均由中标人自行承担，</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不另付费用</w:t>
            </w:r>
            <w:bookmarkStart w:id="0" w:name="_GoBack"/>
            <w:bookmarkEnd w:id="0"/>
            <w:r>
              <w:rPr>
                <w:rFonts w:hint="eastAsia" w:ascii="宋体" w:hAnsi="宋体" w:eastAsia="宋体" w:cs="宋体"/>
                <w:color w:val="auto"/>
                <w:szCs w:val="21"/>
                <w:highlight w:val="none"/>
              </w:rPr>
              <w:t>。</w:t>
            </w:r>
          </w:p>
        </w:tc>
      </w:tr>
      <w:tr w14:paraId="0EEF32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07" w:hRule="atLeast"/>
        </w:trPr>
        <w:tc>
          <w:tcPr>
            <w:tcW w:w="405" w:type="dxa"/>
            <w:noWrap w:val="0"/>
            <w:vAlign w:val="top"/>
          </w:tcPr>
          <w:p w14:paraId="3110D1A1">
            <w:pPr>
              <w:keepNext/>
              <w:keepLines/>
              <w:pageBreakBefore w:val="0"/>
              <w:widowControl/>
              <w:kinsoku/>
              <w:wordWrap/>
              <w:overflowPunct/>
              <w:topLinePunct w:val="0"/>
              <w:autoSpaceDE/>
              <w:autoSpaceDN/>
              <w:bidi w:val="0"/>
              <w:adjustRightInd/>
              <w:snapToGrid/>
              <w:spacing w:line="240" w:lineRule="auto"/>
              <w:rPr>
                <w:rFonts w:ascii="Calibri" w:hAnsi="Calibri" w:eastAsia="宋体" w:cs="Times New Roman"/>
                <w:color w:val="auto"/>
                <w:sz w:val="21"/>
                <w:szCs w:val="21"/>
                <w:highlight w:val="none"/>
              </w:rPr>
            </w:pPr>
          </w:p>
        </w:tc>
        <w:tc>
          <w:tcPr>
            <w:tcW w:w="405" w:type="dxa"/>
            <w:noWrap w:val="0"/>
            <w:vAlign w:val="center"/>
          </w:tcPr>
          <w:p w14:paraId="7B1894A5">
            <w:pPr>
              <w:keepNext/>
              <w:keepLines/>
              <w:pageBreakBefore w:val="0"/>
              <w:widowControl/>
              <w:kinsoku/>
              <w:wordWrap/>
              <w:overflowPunct/>
              <w:topLinePunct w:val="0"/>
              <w:autoSpaceDE/>
              <w:autoSpaceDN/>
              <w:bidi w:val="0"/>
              <w:adjustRightInd/>
              <w:snapToGrid/>
              <w:spacing w:line="240" w:lineRule="auto"/>
              <w:jc w:val="center"/>
              <w:rPr>
                <w:rFonts w:hint="default" w:ascii="Calibri" w:hAnsi="Calibri" w:eastAsia="宋体" w:cs="Times New Roman"/>
                <w:color w:val="auto"/>
                <w:sz w:val="21"/>
                <w:szCs w:val="21"/>
                <w:highlight w:val="none"/>
                <w:lang w:val="en-US" w:eastAsia="zh-CN"/>
              </w:rPr>
            </w:pPr>
            <w:r>
              <w:rPr>
                <w:rFonts w:hint="eastAsia" w:ascii="Calibri" w:hAnsi="Calibri" w:eastAsia="宋体" w:cs="Times New Roman"/>
                <w:color w:val="auto"/>
                <w:sz w:val="21"/>
                <w:szCs w:val="21"/>
                <w:highlight w:val="none"/>
                <w:lang w:val="en-US" w:eastAsia="zh-CN"/>
              </w:rPr>
              <w:t>3</w:t>
            </w:r>
          </w:p>
        </w:tc>
        <w:tc>
          <w:tcPr>
            <w:tcW w:w="7712" w:type="dxa"/>
            <w:noWrap w:val="0"/>
            <w:vAlign w:val="top"/>
          </w:tcPr>
          <w:p w14:paraId="2F1D0A55">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default" w:ascii="Calibri" w:hAnsi="Calibri" w:eastAsia="宋体" w:cs="Times New Roman"/>
                <w:color w:val="auto"/>
                <w:sz w:val="21"/>
                <w:szCs w:val="21"/>
                <w:highlight w:val="none"/>
                <w:lang w:val="en-US" w:eastAsia="zh-CN"/>
              </w:rPr>
            </w:pPr>
            <w:r>
              <w:rPr>
                <w:rFonts w:hint="default" w:ascii="Calibri" w:hAnsi="Calibri" w:eastAsia="宋体" w:cs="Times New Roman"/>
                <w:color w:val="auto"/>
                <w:sz w:val="21"/>
                <w:szCs w:val="21"/>
                <w:highlight w:val="none"/>
                <w:lang w:val="en-US" w:eastAsia="zh-CN"/>
              </w:rPr>
              <w:t>三</w:t>
            </w:r>
            <w:r>
              <w:rPr>
                <w:rFonts w:hint="eastAsia" w:ascii="Calibri" w:hAnsi="Calibri" w:eastAsia="宋体" w:cs="Times New Roman"/>
                <w:color w:val="auto"/>
                <w:sz w:val="21"/>
                <w:szCs w:val="21"/>
                <w:highlight w:val="none"/>
                <w:lang w:val="en-US" w:eastAsia="zh-CN"/>
              </w:rPr>
              <w:t>、</w:t>
            </w:r>
            <w:r>
              <w:rPr>
                <w:rFonts w:hint="default" w:ascii="Calibri" w:hAnsi="Calibri" w:eastAsia="宋体" w:cs="Times New Roman"/>
                <w:color w:val="auto"/>
                <w:sz w:val="21"/>
                <w:szCs w:val="21"/>
                <w:highlight w:val="none"/>
                <w:lang w:val="en-US" w:eastAsia="zh-CN"/>
              </w:rPr>
              <w:t>服务质量监管要求</w:t>
            </w:r>
          </w:p>
          <w:p w14:paraId="5003B789">
            <w:pPr>
              <w:spacing w:line="24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1.科室投诉不按规定时间收送（特殊情况需提前跟采购人沟通），影响采购人衣物正常运转的，一年内累计发生三次（不含）以上的，采购人有权解除合同，并要求进行相应的赔偿。</w:t>
            </w:r>
          </w:p>
          <w:p w14:paraId="3D59D823">
            <w:pPr>
              <w:spacing w:line="24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2.质量不达标（有污迹、未缝补）应及时回洗，一个月累计质量不达标超过1%的，扣减当月洗涤费的10%。</w:t>
            </w:r>
          </w:p>
          <w:p w14:paraId="01223810">
            <w:pPr>
              <w:spacing w:line="240" w:lineRule="auto"/>
              <w:ind w:firstLine="420" w:firstLineChars="200"/>
              <w:rPr>
                <w:rFonts w:hint="default" w:ascii="Calibri" w:hAnsi="Calibri" w:eastAsia="宋体" w:cs="Times New Roman"/>
                <w:color w:val="auto"/>
                <w:sz w:val="21"/>
                <w:szCs w:val="21"/>
                <w:highlight w:val="none"/>
                <w:lang w:val="en-US" w:eastAsia="zh-CN"/>
              </w:rPr>
            </w:pPr>
            <w:r>
              <w:rPr>
                <w:rFonts w:hint="default" w:ascii="宋体" w:hAnsi="宋体" w:eastAsia="宋体" w:cs="宋体"/>
                <w:color w:val="auto"/>
                <w:sz w:val="21"/>
                <w:szCs w:val="21"/>
                <w:highlight w:val="none"/>
                <w:lang w:val="en-US" w:eastAsia="zh-CN"/>
              </w:rPr>
              <w:t>3.★</w:t>
            </w:r>
            <w:r>
              <w:rPr>
                <w:rFonts w:hint="default" w:ascii="宋体" w:hAnsi="宋体" w:eastAsia="宋体" w:cs="宋体"/>
                <w:color w:val="auto"/>
                <w:szCs w:val="21"/>
                <w:highlight w:val="none"/>
              </w:rPr>
              <w:t>因中标人违反洗涤消毒操作规程或运输管理规范，导致采购人发生院内感染事件的，中标人须承担全部法律责任、经济赔偿及善后处理费用，采购人有权单方解除合同并追究其违约责任。</w:t>
            </w:r>
          </w:p>
          <w:p w14:paraId="67376831">
            <w:pPr>
              <w:spacing w:line="240" w:lineRule="auto"/>
              <w:ind w:firstLine="420" w:firstLineChars="200"/>
              <w:rPr>
                <w:rFonts w:hint="eastAsia" w:ascii="Calibri" w:hAnsi="Calibri" w:eastAsia="宋体" w:cs="Times New Roman"/>
                <w:color w:val="auto"/>
                <w:szCs w:val="21"/>
                <w:highlight w:val="none"/>
              </w:rPr>
            </w:pPr>
            <w:r>
              <w:rPr>
                <w:rFonts w:hint="eastAsia" w:ascii="Calibri" w:hAnsi="Calibri" w:eastAsia="宋体" w:cs="Times New Roman"/>
                <w:color w:val="auto"/>
                <w:sz w:val="21"/>
                <w:szCs w:val="21"/>
                <w:highlight w:val="none"/>
                <w:lang w:val="en-US" w:eastAsia="zh-CN"/>
              </w:rPr>
              <w:t>4.</w:t>
            </w:r>
            <w:r>
              <w:rPr>
                <w:rFonts w:hint="default" w:ascii="宋体" w:hAnsi="宋体" w:eastAsia="宋体" w:cs="宋体"/>
                <w:color w:val="auto"/>
                <w:sz w:val="21"/>
                <w:szCs w:val="21"/>
                <w:highlight w:val="none"/>
                <w:lang w:val="en-US" w:eastAsia="zh-CN"/>
              </w:rPr>
              <w:t>★</w:t>
            </w:r>
            <w:r>
              <w:rPr>
                <w:rFonts w:hint="eastAsia" w:ascii="Calibri" w:hAnsi="Calibri" w:eastAsia="宋体" w:cs="Times New Roman"/>
                <w:color w:val="auto"/>
                <w:szCs w:val="21"/>
                <w:highlight w:val="none"/>
              </w:rPr>
              <w:t>中标人须依法与其派驻</w:t>
            </w:r>
            <w:r>
              <w:rPr>
                <w:rFonts w:hint="eastAsia" w:ascii="Calibri" w:hAnsi="Calibri" w:eastAsia="宋体" w:cs="Times New Roman"/>
                <w:color w:val="auto"/>
                <w:szCs w:val="21"/>
                <w:highlight w:val="none"/>
                <w:lang w:val="en-US" w:eastAsia="zh-CN"/>
              </w:rPr>
              <w:t>采购人</w:t>
            </w:r>
            <w:r>
              <w:rPr>
                <w:rFonts w:hint="eastAsia" w:ascii="Calibri" w:hAnsi="Calibri" w:eastAsia="宋体" w:cs="Times New Roman"/>
                <w:color w:val="auto"/>
                <w:szCs w:val="21"/>
                <w:highlight w:val="none"/>
              </w:rPr>
              <w:t>院区的所有服务人员签订劳动合同，并按时足额缴纳社会保险。服务期间如发生劳动纠纷、工伤事故或人身安全事件，均由中标人依据国家相关法律法规独立承担全部责任和处理善后事宜，院方不承担</w:t>
            </w:r>
            <w:r>
              <w:rPr>
                <w:rFonts w:hint="eastAsia" w:ascii="Calibri" w:hAnsi="Calibri" w:eastAsia="宋体" w:cs="Times New Roman"/>
                <w:color w:val="auto"/>
                <w:szCs w:val="21"/>
                <w:highlight w:val="none"/>
                <w:lang w:val="en-US" w:eastAsia="zh-CN"/>
              </w:rPr>
              <w:t>任何</w:t>
            </w:r>
            <w:r>
              <w:rPr>
                <w:rFonts w:hint="eastAsia" w:ascii="Calibri" w:hAnsi="Calibri" w:eastAsia="宋体" w:cs="Times New Roman"/>
                <w:color w:val="auto"/>
                <w:szCs w:val="21"/>
                <w:highlight w:val="none"/>
              </w:rPr>
              <w:t>责任。</w:t>
            </w:r>
          </w:p>
          <w:p w14:paraId="55C1D43B">
            <w:pPr>
              <w:spacing w:line="240" w:lineRule="auto"/>
              <w:ind w:firstLine="420" w:firstLineChars="200"/>
              <w:rPr>
                <w:rFonts w:hint="default" w:ascii="Calibri" w:hAnsi="Calibri" w:eastAsia="宋体" w:cs="Times New Roman"/>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Cs w:val="21"/>
                <w:highlight w:val="none"/>
              </w:rPr>
              <w:t>因中标人管理不善、操作不当等原因导致发生安全事故的，中标人须承担全部法律责任、人身财产损害赔偿及善后处理费用，情节严重或造成恶劣社会影响的，采购人有权单方解除合同并追究违约责任。</w:t>
            </w:r>
          </w:p>
        </w:tc>
      </w:tr>
      <w:tr w14:paraId="6265F0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trPr>
        <w:tc>
          <w:tcPr>
            <w:tcW w:w="405" w:type="dxa"/>
            <w:noWrap w:val="0"/>
            <w:vAlign w:val="center"/>
          </w:tcPr>
          <w:p w14:paraId="50C1C746">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说明</w:t>
            </w:r>
          </w:p>
        </w:tc>
        <w:tc>
          <w:tcPr>
            <w:tcW w:w="8117" w:type="dxa"/>
            <w:gridSpan w:val="2"/>
            <w:noWrap w:val="0"/>
            <w:vAlign w:val="top"/>
          </w:tcPr>
          <w:p w14:paraId="3951BEB4">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打“★”号条款为实质性条款，若有任何一条负偏离或不满足则导致投标(响应)无效。 </w:t>
            </w:r>
          </w:p>
          <w:p w14:paraId="6978BEAB">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打“▲”号条款为重要技术参数(如有)，若有部分“▲”条款未响应或不满足，将根据评审要求影响其得分，但不作为无效投标(响应)条款。</w:t>
            </w:r>
          </w:p>
        </w:tc>
      </w:tr>
    </w:tbl>
    <w:p w14:paraId="6A8E8CAC">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p w14:paraId="1E872E16">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p w14:paraId="1248FC26">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附表1：《中山市南朗医院医疗洗涤采购项目月度考核评分表》</w:t>
      </w:r>
    </w:p>
    <w:p w14:paraId="5AD05B76">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1.总则</w:t>
      </w:r>
    </w:p>
    <w:p w14:paraId="3A20EC65">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（1）采购人根据实际情况，负责对</w:t>
      </w:r>
      <w:r>
        <w:rPr>
          <w:rFonts w:hint="eastAsia" w:ascii="Calibri" w:hAnsi="Calibri" w:eastAsia="宋体" w:cs="Times New Roman"/>
          <w:color w:val="auto"/>
          <w:sz w:val="21"/>
          <w:szCs w:val="21"/>
          <w:highlight w:val="none"/>
          <w:lang w:val="en-US" w:eastAsia="zh-CN"/>
        </w:rPr>
        <w:t>中标人</w:t>
      </w:r>
      <w:r>
        <w:rPr>
          <w:rFonts w:hint="eastAsia" w:ascii="宋体" w:hAnsi="宋体" w:eastAsia="宋体" w:cs="宋体"/>
          <w:color w:val="auto"/>
          <w:sz w:val="21"/>
          <w:szCs w:val="21"/>
          <w:highlight w:val="none"/>
          <w:lang w:val="en-US" w:eastAsia="zh-CN"/>
        </w:rPr>
        <w:t>的服务质量进行监管。</w:t>
      </w:r>
    </w:p>
    <w:p w14:paraId="676D7ECE">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2.考核评审标准</w:t>
      </w:r>
    </w:p>
    <w:tbl>
      <w:tblPr>
        <w:tblStyle w:val="4"/>
        <w:tblW w:w="8439"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54"/>
        <w:gridCol w:w="640"/>
        <w:gridCol w:w="4788"/>
        <w:gridCol w:w="1089"/>
        <w:gridCol w:w="1268"/>
      </w:tblGrid>
      <w:tr w14:paraId="007C28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00" w:type="pct"/>
            <w:gridSpan w:val="5"/>
            <w:tcBorders>
              <w:top w:val="single" w:color="000000" w:sz="4" w:space="0"/>
              <w:left w:val="single" w:color="000000" w:sz="4" w:space="0"/>
              <w:bottom w:val="single" w:color="000000" w:sz="4" w:space="0"/>
              <w:right w:val="single" w:color="000000" w:sz="4" w:space="0"/>
            </w:tcBorders>
            <w:vAlign w:val="top"/>
          </w:tcPr>
          <w:p w14:paraId="6C313381">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洗涤服务评分表（  年  月 ）</w:t>
            </w:r>
          </w:p>
        </w:tc>
      </w:tr>
      <w:tr w14:paraId="5FA3E5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8" w:type="pct"/>
            <w:tcBorders>
              <w:top w:val="nil"/>
              <w:left w:val="single" w:color="000000" w:sz="4" w:space="0"/>
              <w:bottom w:val="single" w:color="000000" w:sz="4" w:space="0"/>
              <w:right w:val="single" w:color="000000" w:sz="4" w:space="0"/>
            </w:tcBorders>
            <w:vAlign w:val="center"/>
          </w:tcPr>
          <w:p w14:paraId="182C9CEA">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3216" w:type="pct"/>
            <w:gridSpan w:val="2"/>
            <w:tcBorders>
              <w:top w:val="single" w:color="000000" w:sz="4" w:space="0"/>
              <w:left w:val="nil"/>
              <w:bottom w:val="single" w:color="000000" w:sz="4" w:space="0"/>
              <w:right w:val="single" w:color="000000" w:sz="4" w:space="0"/>
            </w:tcBorders>
            <w:vAlign w:val="center"/>
          </w:tcPr>
          <w:p w14:paraId="3A620BA5">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指标事项</w:t>
            </w:r>
          </w:p>
        </w:tc>
        <w:tc>
          <w:tcPr>
            <w:tcW w:w="645" w:type="pct"/>
            <w:tcBorders>
              <w:top w:val="single" w:color="000000" w:sz="4" w:space="0"/>
              <w:left w:val="nil"/>
              <w:bottom w:val="single" w:color="000000" w:sz="4" w:space="0"/>
              <w:right w:val="single" w:color="000000" w:sz="4" w:space="0"/>
            </w:tcBorders>
            <w:vAlign w:val="center"/>
          </w:tcPr>
          <w:p w14:paraId="64051938">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得分情况</w:t>
            </w:r>
          </w:p>
        </w:tc>
        <w:tc>
          <w:tcPr>
            <w:tcW w:w="749" w:type="pct"/>
            <w:tcBorders>
              <w:top w:val="single" w:color="000000" w:sz="4" w:space="0"/>
              <w:left w:val="nil"/>
              <w:bottom w:val="single" w:color="000000" w:sz="4" w:space="0"/>
              <w:right w:val="single" w:color="000000" w:sz="4" w:space="0"/>
            </w:tcBorders>
            <w:vAlign w:val="center"/>
          </w:tcPr>
          <w:p w14:paraId="6A853E45">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扣分原因</w:t>
            </w:r>
          </w:p>
        </w:tc>
      </w:tr>
      <w:tr w14:paraId="5A37E2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8" w:type="pct"/>
            <w:tcBorders>
              <w:top w:val="nil"/>
              <w:left w:val="single" w:color="000000" w:sz="4" w:space="0"/>
              <w:bottom w:val="single" w:color="000000" w:sz="4" w:space="0"/>
              <w:right w:val="single" w:color="000000" w:sz="4" w:space="0"/>
            </w:tcBorders>
            <w:vAlign w:val="center"/>
          </w:tcPr>
          <w:p w14:paraId="4478BF9F">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379" w:type="pct"/>
            <w:vMerge w:val="restart"/>
            <w:tcBorders>
              <w:top w:val="nil"/>
              <w:left w:val="nil"/>
              <w:bottom w:val="single" w:color="000000" w:sz="4" w:space="0"/>
              <w:right w:val="single" w:color="000000" w:sz="4" w:space="0"/>
            </w:tcBorders>
            <w:vAlign w:val="center"/>
          </w:tcPr>
          <w:p w14:paraId="32EB3765">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综合管理服务</w:t>
            </w:r>
          </w:p>
        </w:tc>
        <w:tc>
          <w:tcPr>
            <w:tcW w:w="2836" w:type="pct"/>
            <w:tcBorders>
              <w:top w:val="nil"/>
              <w:left w:val="nil"/>
              <w:bottom w:val="single" w:color="000000" w:sz="4" w:space="0"/>
              <w:right w:val="single" w:color="000000" w:sz="4" w:space="0"/>
            </w:tcBorders>
            <w:vAlign w:val="center"/>
          </w:tcPr>
          <w:p w14:paraId="56D58837">
            <w:pPr>
              <w:keepNext/>
              <w:keepLines/>
              <w:pageBreakBefore w:val="0"/>
              <w:widowControl/>
              <w:numPr>
                <w:ilvl w:val="0"/>
                <w:numId w:val="0"/>
              </w:numPr>
              <w:kinsoku/>
              <w:wordWrap/>
              <w:overflowPunct/>
              <w:topLinePunct w:val="0"/>
              <w:autoSpaceDE/>
              <w:autoSpaceDN/>
              <w:bidi w:val="0"/>
              <w:adjustRightInd/>
              <w:snapToGrid/>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礼貌服务，语言文明，礼让患者。（满分10分）</w:t>
            </w:r>
          </w:p>
        </w:tc>
        <w:tc>
          <w:tcPr>
            <w:tcW w:w="645" w:type="pct"/>
            <w:tcBorders>
              <w:top w:val="nil"/>
              <w:left w:val="nil"/>
              <w:bottom w:val="single" w:color="000000" w:sz="4" w:space="0"/>
              <w:right w:val="single" w:color="000000" w:sz="4" w:space="0"/>
            </w:tcBorders>
            <w:vAlign w:val="top"/>
          </w:tcPr>
          <w:p w14:paraId="4E78ECF5">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c>
          <w:tcPr>
            <w:tcW w:w="749" w:type="pct"/>
            <w:tcBorders>
              <w:top w:val="nil"/>
              <w:left w:val="nil"/>
              <w:bottom w:val="single" w:color="000000" w:sz="4" w:space="0"/>
              <w:right w:val="single" w:color="000000" w:sz="4" w:space="0"/>
            </w:tcBorders>
            <w:vAlign w:val="top"/>
          </w:tcPr>
          <w:p w14:paraId="4304A813">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r>
      <w:tr w14:paraId="52DB1E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8" w:type="pct"/>
            <w:tcBorders>
              <w:top w:val="nil"/>
              <w:left w:val="single" w:color="000000" w:sz="4" w:space="0"/>
              <w:bottom w:val="single" w:color="000000" w:sz="4" w:space="0"/>
              <w:right w:val="single" w:color="000000" w:sz="4" w:space="0"/>
            </w:tcBorders>
            <w:vAlign w:val="center"/>
          </w:tcPr>
          <w:p w14:paraId="1CED7F4C">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379" w:type="pct"/>
            <w:vMerge w:val="continue"/>
            <w:tcBorders>
              <w:top w:val="nil"/>
              <w:left w:val="nil"/>
              <w:bottom w:val="single" w:color="000000" w:sz="4" w:space="0"/>
              <w:right w:val="single" w:color="000000" w:sz="4" w:space="0"/>
            </w:tcBorders>
            <w:vAlign w:val="center"/>
          </w:tcPr>
          <w:p w14:paraId="6A156BA8">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p>
        </w:tc>
        <w:tc>
          <w:tcPr>
            <w:tcW w:w="2836" w:type="pct"/>
            <w:tcBorders>
              <w:top w:val="nil"/>
              <w:left w:val="nil"/>
              <w:bottom w:val="single" w:color="000000" w:sz="4" w:space="0"/>
              <w:right w:val="single" w:color="000000" w:sz="4" w:space="0"/>
            </w:tcBorders>
            <w:vAlign w:val="center"/>
          </w:tcPr>
          <w:p w14:paraId="3D55E676">
            <w:pPr>
              <w:keepNext/>
              <w:keepLines/>
              <w:pageBreakBefore w:val="0"/>
              <w:widowControl/>
              <w:numPr>
                <w:ilvl w:val="0"/>
                <w:numId w:val="0"/>
              </w:numPr>
              <w:kinsoku/>
              <w:wordWrap/>
              <w:overflowPunct/>
              <w:topLinePunct w:val="0"/>
              <w:autoSpaceDE/>
              <w:autoSpaceDN/>
              <w:bidi w:val="0"/>
              <w:adjustRightInd/>
              <w:snapToGrid/>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收送人员服装穿着整洁，应按安全防护操作规定要求，穿戴好防护用品（满分10分）</w:t>
            </w:r>
          </w:p>
        </w:tc>
        <w:tc>
          <w:tcPr>
            <w:tcW w:w="645" w:type="pct"/>
            <w:tcBorders>
              <w:top w:val="nil"/>
              <w:left w:val="nil"/>
              <w:bottom w:val="single" w:color="000000" w:sz="4" w:space="0"/>
              <w:right w:val="single" w:color="000000" w:sz="4" w:space="0"/>
            </w:tcBorders>
            <w:vAlign w:val="top"/>
          </w:tcPr>
          <w:p w14:paraId="6BD9F58B">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c>
          <w:tcPr>
            <w:tcW w:w="749" w:type="pct"/>
            <w:tcBorders>
              <w:top w:val="nil"/>
              <w:left w:val="nil"/>
              <w:bottom w:val="single" w:color="000000" w:sz="4" w:space="0"/>
              <w:right w:val="single" w:color="000000" w:sz="4" w:space="0"/>
            </w:tcBorders>
            <w:vAlign w:val="top"/>
          </w:tcPr>
          <w:p w14:paraId="15949768">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r>
      <w:tr w14:paraId="67AFC3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8" w:type="pct"/>
            <w:tcBorders>
              <w:top w:val="nil"/>
              <w:left w:val="single" w:color="000000" w:sz="4" w:space="0"/>
              <w:bottom w:val="single" w:color="000000" w:sz="4" w:space="0"/>
              <w:right w:val="single" w:color="000000" w:sz="4" w:space="0"/>
            </w:tcBorders>
            <w:vAlign w:val="center"/>
          </w:tcPr>
          <w:p w14:paraId="09A7D0CC">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379" w:type="pct"/>
            <w:vMerge w:val="continue"/>
            <w:tcBorders>
              <w:top w:val="nil"/>
              <w:left w:val="nil"/>
              <w:bottom w:val="single" w:color="000000" w:sz="4" w:space="0"/>
              <w:right w:val="single" w:color="000000" w:sz="4" w:space="0"/>
            </w:tcBorders>
            <w:vAlign w:val="center"/>
          </w:tcPr>
          <w:p w14:paraId="34FB7615">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p>
        </w:tc>
        <w:tc>
          <w:tcPr>
            <w:tcW w:w="2836" w:type="pct"/>
            <w:tcBorders>
              <w:top w:val="nil"/>
              <w:left w:val="nil"/>
              <w:bottom w:val="single" w:color="000000" w:sz="4" w:space="0"/>
              <w:right w:val="single" w:color="000000" w:sz="4" w:space="0"/>
            </w:tcBorders>
            <w:vAlign w:val="center"/>
          </w:tcPr>
          <w:p w14:paraId="1CF47254">
            <w:pPr>
              <w:keepNext/>
              <w:keepLines/>
              <w:pageBreakBefore w:val="0"/>
              <w:widowControl/>
              <w:numPr>
                <w:ilvl w:val="0"/>
                <w:numId w:val="0"/>
              </w:numPr>
              <w:kinsoku/>
              <w:wordWrap/>
              <w:overflowPunct/>
              <w:topLinePunct w:val="0"/>
              <w:autoSpaceDE/>
              <w:autoSpaceDN/>
              <w:bidi w:val="0"/>
              <w:adjustRightInd/>
              <w:snapToGrid/>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对医院服务中出现的问题或差错及时处理、改进（满分10分）</w:t>
            </w:r>
          </w:p>
        </w:tc>
        <w:tc>
          <w:tcPr>
            <w:tcW w:w="645" w:type="pct"/>
            <w:tcBorders>
              <w:top w:val="nil"/>
              <w:left w:val="nil"/>
              <w:bottom w:val="single" w:color="000000" w:sz="4" w:space="0"/>
              <w:right w:val="single" w:color="000000" w:sz="4" w:space="0"/>
            </w:tcBorders>
            <w:vAlign w:val="top"/>
          </w:tcPr>
          <w:p w14:paraId="4BFF3494">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c>
          <w:tcPr>
            <w:tcW w:w="749" w:type="pct"/>
            <w:tcBorders>
              <w:top w:val="nil"/>
              <w:left w:val="nil"/>
              <w:bottom w:val="single" w:color="000000" w:sz="4" w:space="0"/>
              <w:right w:val="single" w:color="000000" w:sz="4" w:space="0"/>
            </w:tcBorders>
            <w:vAlign w:val="top"/>
          </w:tcPr>
          <w:p w14:paraId="1F7E0938">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r>
      <w:tr w14:paraId="311CA45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8" w:type="pct"/>
            <w:tcBorders>
              <w:top w:val="nil"/>
              <w:left w:val="single" w:color="000000" w:sz="4" w:space="0"/>
              <w:bottom w:val="single" w:color="000000" w:sz="4" w:space="0"/>
              <w:right w:val="single" w:color="000000" w:sz="4" w:space="0"/>
            </w:tcBorders>
            <w:vAlign w:val="center"/>
          </w:tcPr>
          <w:p w14:paraId="5A49BF41">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379" w:type="pct"/>
            <w:vMerge w:val="restart"/>
            <w:tcBorders>
              <w:top w:val="nil"/>
              <w:left w:val="nil"/>
              <w:bottom w:val="single" w:color="000000" w:sz="4" w:space="0"/>
              <w:right w:val="single" w:color="000000" w:sz="4" w:space="0"/>
            </w:tcBorders>
            <w:vAlign w:val="center"/>
          </w:tcPr>
          <w:p w14:paraId="1A4B1D0B">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被服洗涤质量</w:t>
            </w:r>
          </w:p>
        </w:tc>
        <w:tc>
          <w:tcPr>
            <w:tcW w:w="2836" w:type="pct"/>
            <w:tcBorders>
              <w:top w:val="nil"/>
              <w:left w:val="nil"/>
              <w:bottom w:val="single" w:color="000000" w:sz="4" w:space="0"/>
              <w:right w:val="single" w:color="000000" w:sz="4" w:space="0"/>
            </w:tcBorders>
            <w:vAlign w:val="center"/>
          </w:tcPr>
          <w:p w14:paraId="7EEDD555">
            <w:pPr>
              <w:keepNext/>
              <w:keepLines/>
              <w:pageBreakBefore w:val="0"/>
              <w:widowControl/>
              <w:numPr>
                <w:ilvl w:val="0"/>
                <w:numId w:val="0"/>
              </w:numPr>
              <w:kinsoku/>
              <w:wordWrap/>
              <w:overflowPunct/>
              <w:topLinePunct w:val="0"/>
              <w:autoSpaceDE/>
              <w:autoSpaceDN/>
              <w:bidi w:val="0"/>
              <w:adjustRightInd/>
              <w:snapToGrid/>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被服洁净；无明显可以洗脱、去除的污渍；无串色；无残留的漂白剂氯气味、洗衣粉味（满分10分）</w:t>
            </w:r>
          </w:p>
        </w:tc>
        <w:tc>
          <w:tcPr>
            <w:tcW w:w="645" w:type="pct"/>
            <w:tcBorders>
              <w:top w:val="nil"/>
              <w:left w:val="nil"/>
              <w:bottom w:val="single" w:color="000000" w:sz="4" w:space="0"/>
              <w:right w:val="single" w:color="000000" w:sz="4" w:space="0"/>
            </w:tcBorders>
            <w:vAlign w:val="top"/>
          </w:tcPr>
          <w:p w14:paraId="696FB44C">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c>
          <w:tcPr>
            <w:tcW w:w="749" w:type="pct"/>
            <w:tcBorders>
              <w:top w:val="nil"/>
              <w:left w:val="nil"/>
              <w:bottom w:val="single" w:color="000000" w:sz="4" w:space="0"/>
              <w:right w:val="single" w:color="000000" w:sz="4" w:space="0"/>
            </w:tcBorders>
            <w:vAlign w:val="top"/>
          </w:tcPr>
          <w:p w14:paraId="6CEA253C">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r>
      <w:tr w14:paraId="3F60FA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8" w:type="pct"/>
            <w:tcBorders>
              <w:top w:val="nil"/>
              <w:left w:val="single" w:color="000000" w:sz="4" w:space="0"/>
              <w:bottom w:val="single" w:color="000000" w:sz="4" w:space="0"/>
              <w:right w:val="single" w:color="000000" w:sz="4" w:space="0"/>
            </w:tcBorders>
            <w:vAlign w:val="center"/>
          </w:tcPr>
          <w:p w14:paraId="02CE147F">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379" w:type="pct"/>
            <w:vMerge w:val="continue"/>
            <w:tcBorders>
              <w:top w:val="nil"/>
              <w:left w:val="nil"/>
              <w:bottom w:val="single" w:color="000000" w:sz="4" w:space="0"/>
              <w:right w:val="single" w:color="000000" w:sz="4" w:space="0"/>
            </w:tcBorders>
            <w:vAlign w:val="center"/>
          </w:tcPr>
          <w:p w14:paraId="7F1A019D">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p>
        </w:tc>
        <w:tc>
          <w:tcPr>
            <w:tcW w:w="2836" w:type="pct"/>
            <w:tcBorders>
              <w:top w:val="nil"/>
              <w:left w:val="nil"/>
              <w:bottom w:val="single" w:color="000000" w:sz="4" w:space="0"/>
              <w:right w:val="single" w:color="000000" w:sz="4" w:space="0"/>
            </w:tcBorders>
            <w:vAlign w:val="center"/>
          </w:tcPr>
          <w:p w14:paraId="6E5BB180">
            <w:pPr>
              <w:keepNext/>
              <w:keepLines/>
              <w:pageBreakBefore w:val="0"/>
              <w:widowControl/>
              <w:numPr>
                <w:ilvl w:val="0"/>
                <w:numId w:val="0"/>
              </w:numPr>
              <w:kinsoku/>
              <w:wordWrap/>
              <w:overflowPunct/>
              <w:topLinePunct w:val="0"/>
              <w:autoSpaceDE/>
              <w:autoSpaceDN/>
              <w:bidi w:val="0"/>
              <w:adjustRightInd/>
              <w:snapToGrid/>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熨烫平整，无双重痕迹和不规则熨痕。包装完好，无杂物、灰尘污染。缝补后的衣物实用、美观，并保持原用途（满分10分）</w:t>
            </w:r>
          </w:p>
        </w:tc>
        <w:tc>
          <w:tcPr>
            <w:tcW w:w="645" w:type="pct"/>
            <w:tcBorders>
              <w:top w:val="nil"/>
              <w:left w:val="nil"/>
              <w:bottom w:val="single" w:color="000000" w:sz="4" w:space="0"/>
              <w:right w:val="single" w:color="000000" w:sz="4" w:space="0"/>
            </w:tcBorders>
            <w:vAlign w:val="top"/>
          </w:tcPr>
          <w:p w14:paraId="20D9BCBF">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c>
          <w:tcPr>
            <w:tcW w:w="749" w:type="pct"/>
            <w:tcBorders>
              <w:top w:val="nil"/>
              <w:left w:val="nil"/>
              <w:bottom w:val="single" w:color="000000" w:sz="4" w:space="0"/>
              <w:right w:val="single" w:color="000000" w:sz="4" w:space="0"/>
            </w:tcBorders>
            <w:vAlign w:val="top"/>
          </w:tcPr>
          <w:p w14:paraId="5A647900">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r>
      <w:tr w14:paraId="29114B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8" w:type="pct"/>
            <w:tcBorders>
              <w:top w:val="nil"/>
              <w:left w:val="single" w:color="000000" w:sz="4" w:space="0"/>
              <w:bottom w:val="single" w:color="000000" w:sz="4" w:space="0"/>
              <w:right w:val="single" w:color="000000" w:sz="4" w:space="0"/>
            </w:tcBorders>
            <w:vAlign w:val="center"/>
          </w:tcPr>
          <w:p w14:paraId="510844CB">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379" w:type="pct"/>
            <w:vMerge w:val="restart"/>
            <w:tcBorders>
              <w:top w:val="nil"/>
              <w:left w:val="nil"/>
              <w:bottom w:val="single" w:color="000000" w:sz="4" w:space="0"/>
              <w:right w:val="single" w:color="000000" w:sz="4" w:space="0"/>
            </w:tcBorders>
            <w:vAlign w:val="center"/>
          </w:tcPr>
          <w:p w14:paraId="329AFE30">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衣物收送质量</w:t>
            </w:r>
          </w:p>
        </w:tc>
        <w:tc>
          <w:tcPr>
            <w:tcW w:w="2836" w:type="pct"/>
            <w:tcBorders>
              <w:top w:val="nil"/>
              <w:left w:val="nil"/>
              <w:bottom w:val="single" w:color="000000" w:sz="4" w:space="0"/>
              <w:right w:val="single" w:color="000000" w:sz="4" w:space="0"/>
            </w:tcBorders>
            <w:vAlign w:val="center"/>
          </w:tcPr>
          <w:p w14:paraId="75749D6B">
            <w:pPr>
              <w:keepNext/>
              <w:keepLines/>
              <w:pageBreakBefore w:val="0"/>
              <w:widowControl/>
              <w:numPr>
                <w:ilvl w:val="0"/>
                <w:numId w:val="0"/>
              </w:numPr>
              <w:kinsoku/>
              <w:wordWrap/>
              <w:overflowPunct/>
              <w:topLinePunct w:val="0"/>
              <w:autoSpaceDE/>
              <w:autoSpaceDN/>
              <w:bidi w:val="0"/>
              <w:adjustRightInd/>
              <w:snapToGrid/>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被服运输过程保持污衣密封不外露，污水、血水不外流（满分10分）</w:t>
            </w:r>
          </w:p>
        </w:tc>
        <w:tc>
          <w:tcPr>
            <w:tcW w:w="645" w:type="pct"/>
            <w:tcBorders>
              <w:top w:val="nil"/>
              <w:left w:val="nil"/>
              <w:bottom w:val="single" w:color="000000" w:sz="4" w:space="0"/>
              <w:right w:val="single" w:color="000000" w:sz="4" w:space="0"/>
            </w:tcBorders>
            <w:vAlign w:val="top"/>
          </w:tcPr>
          <w:p w14:paraId="3145BCC4">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c>
          <w:tcPr>
            <w:tcW w:w="749" w:type="pct"/>
            <w:tcBorders>
              <w:top w:val="nil"/>
              <w:left w:val="nil"/>
              <w:bottom w:val="single" w:color="000000" w:sz="4" w:space="0"/>
              <w:right w:val="single" w:color="000000" w:sz="4" w:space="0"/>
            </w:tcBorders>
            <w:vAlign w:val="top"/>
          </w:tcPr>
          <w:p w14:paraId="688A1E81">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r>
      <w:tr w14:paraId="32DED5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8" w:type="pct"/>
            <w:tcBorders>
              <w:top w:val="nil"/>
              <w:left w:val="single" w:color="000000" w:sz="4" w:space="0"/>
              <w:bottom w:val="single" w:color="000000" w:sz="4" w:space="0"/>
              <w:right w:val="single" w:color="000000" w:sz="4" w:space="0"/>
            </w:tcBorders>
            <w:vAlign w:val="center"/>
          </w:tcPr>
          <w:p w14:paraId="321CD27A">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379" w:type="pct"/>
            <w:vMerge w:val="continue"/>
            <w:tcBorders>
              <w:top w:val="nil"/>
              <w:left w:val="nil"/>
              <w:bottom w:val="single" w:color="000000" w:sz="4" w:space="0"/>
              <w:right w:val="single" w:color="000000" w:sz="4" w:space="0"/>
            </w:tcBorders>
          </w:tcPr>
          <w:p w14:paraId="4CFBA9B3">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c>
          <w:tcPr>
            <w:tcW w:w="2836" w:type="pct"/>
            <w:tcBorders>
              <w:top w:val="nil"/>
              <w:left w:val="nil"/>
              <w:bottom w:val="single" w:color="000000" w:sz="4" w:space="0"/>
              <w:right w:val="single" w:color="000000" w:sz="4" w:space="0"/>
            </w:tcBorders>
            <w:vAlign w:val="center"/>
          </w:tcPr>
          <w:p w14:paraId="15F84B16">
            <w:pPr>
              <w:keepNext/>
              <w:keepLines/>
              <w:pageBreakBefore w:val="0"/>
              <w:widowControl/>
              <w:numPr>
                <w:ilvl w:val="0"/>
                <w:numId w:val="0"/>
              </w:numPr>
              <w:kinsoku/>
              <w:wordWrap/>
              <w:overflowPunct/>
              <w:topLinePunct w:val="0"/>
              <w:autoSpaceDE/>
              <w:autoSpaceDN/>
              <w:bidi w:val="0"/>
              <w:adjustRightInd/>
              <w:snapToGrid/>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文明操作，做到装卸被服不拖、不拉，避免损坏被服（满分10分）</w:t>
            </w:r>
          </w:p>
        </w:tc>
        <w:tc>
          <w:tcPr>
            <w:tcW w:w="645" w:type="pct"/>
            <w:tcBorders>
              <w:top w:val="nil"/>
              <w:left w:val="nil"/>
              <w:bottom w:val="single" w:color="000000" w:sz="4" w:space="0"/>
              <w:right w:val="single" w:color="000000" w:sz="4" w:space="0"/>
            </w:tcBorders>
            <w:vAlign w:val="top"/>
          </w:tcPr>
          <w:p w14:paraId="408AF7D4">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c>
          <w:tcPr>
            <w:tcW w:w="749" w:type="pct"/>
            <w:tcBorders>
              <w:top w:val="nil"/>
              <w:left w:val="nil"/>
              <w:bottom w:val="single" w:color="000000" w:sz="4" w:space="0"/>
              <w:right w:val="single" w:color="000000" w:sz="4" w:space="0"/>
            </w:tcBorders>
            <w:vAlign w:val="top"/>
          </w:tcPr>
          <w:p w14:paraId="342D3975">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r>
      <w:tr w14:paraId="6A784F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8" w:type="pct"/>
            <w:tcBorders>
              <w:top w:val="nil"/>
              <w:left w:val="single" w:color="000000" w:sz="4" w:space="0"/>
              <w:bottom w:val="single" w:color="000000" w:sz="4" w:space="0"/>
              <w:right w:val="single" w:color="000000" w:sz="4" w:space="0"/>
            </w:tcBorders>
            <w:vAlign w:val="center"/>
          </w:tcPr>
          <w:p w14:paraId="5421902C">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379" w:type="pct"/>
            <w:vMerge w:val="continue"/>
            <w:tcBorders>
              <w:top w:val="nil"/>
              <w:left w:val="nil"/>
              <w:bottom w:val="single" w:color="000000" w:sz="4" w:space="0"/>
              <w:right w:val="single" w:color="000000" w:sz="4" w:space="0"/>
            </w:tcBorders>
          </w:tcPr>
          <w:p w14:paraId="6A35CC37">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c>
          <w:tcPr>
            <w:tcW w:w="2836" w:type="pct"/>
            <w:tcBorders>
              <w:top w:val="nil"/>
              <w:left w:val="nil"/>
              <w:bottom w:val="single" w:color="000000" w:sz="4" w:space="0"/>
              <w:right w:val="single" w:color="000000" w:sz="4" w:space="0"/>
            </w:tcBorders>
            <w:vAlign w:val="center"/>
          </w:tcPr>
          <w:p w14:paraId="27932258">
            <w:pPr>
              <w:keepNext/>
              <w:keepLines/>
              <w:pageBreakBefore w:val="0"/>
              <w:widowControl/>
              <w:numPr>
                <w:ilvl w:val="0"/>
                <w:numId w:val="0"/>
              </w:numPr>
              <w:kinsoku/>
              <w:wordWrap/>
              <w:overflowPunct/>
              <w:topLinePunct w:val="0"/>
              <w:autoSpaceDE/>
              <w:autoSpaceDN/>
              <w:bidi w:val="0"/>
              <w:adjustRightInd/>
              <w:snapToGrid/>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按规定时间、要求回收医院污衣布类、发送净衣布类，及时收送（满分10分）</w:t>
            </w:r>
          </w:p>
        </w:tc>
        <w:tc>
          <w:tcPr>
            <w:tcW w:w="645" w:type="pct"/>
            <w:tcBorders>
              <w:top w:val="nil"/>
              <w:left w:val="nil"/>
              <w:bottom w:val="single" w:color="000000" w:sz="4" w:space="0"/>
              <w:right w:val="single" w:color="000000" w:sz="4" w:space="0"/>
            </w:tcBorders>
            <w:vAlign w:val="top"/>
          </w:tcPr>
          <w:p w14:paraId="0BA40EAA">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c>
          <w:tcPr>
            <w:tcW w:w="749" w:type="pct"/>
            <w:tcBorders>
              <w:top w:val="nil"/>
              <w:left w:val="nil"/>
              <w:bottom w:val="single" w:color="000000" w:sz="4" w:space="0"/>
              <w:right w:val="single" w:color="000000" w:sz="4" w:space="0"/>
            </w:tcBorders>
            <w:vAlign w:val="top"/>
          </w:tcPr>
          <w:p w14:paraId="7F171556">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r>
      <w:tr w14:paraId="7A7844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8" w:type="pct"/>
            <w:tcBorders>
              <w:top w:val="nil"/>
              <w:left w:val="single" w:color="000000" w:sz="4" w:space="0"/>
              <w:bottom w:val="single" w:color="000000" w:sz="4" w:space="0"/>
              <w:right w:val="single" w:color="000000" w:sz="4" w:space="0"/>
            </w:tcBorders>
            <w:vAlign w:val="center"/>
          </w:tcPr>
          <w:p w14:paraId="72A818D3">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379" w:type="pct"/>
            <w:vMerge w:val="continue"/>
            <w:tcBorders>
              <w:top w:val="nil"/>
              <w:left w:val="nil"/>
              <w:bottom w:val="single" w:color="000000" w:sz="4" w:space="0"/>
              <w:right w:val="single" w:color="000000" w:sz="4" w:space="0"/>
            </w:tcBorders>
          </w:tcPr>
          <w:p w14:paraId="24069C7A">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c>
          <w:tcPr>
            <w:tcW w:w="2836" w:type="pct"/>
            <w:tcBorders>
              <w:top w:val="nil"/>
              <w:left w:val="nil"/>
              <w:bottom w:val="single" w:color="000000" w:sz="4" w:space="0"/>
              <w:right w:val="single" w:color="000000" w:sz="4" w:space="0"/>
            </w:tcBorders>
            <w:vAlign w:val="center"/>
          </w:tcPr>
          <w:p w14:paraId="696C6F5C">
            <w:pPr>
              <w:keepNext/>
              <w:keepLines/>
              <w:pageBreakBefore w:val="0"/>
              <w:widowControl/>
              <w:numPr>
                <w:ilvl w:val="0"/>
                <w:numId w:val="0"/>
              </w:numPr>
              <w:kinsoku/>
              <w:wordWrap/>
              <w:overflowPunct/>
              <w:topLinePunct w:val="0"/>
              <w:autoSpaceDE/>
              <w:autoSpaceDN/>
              <w:bidi w:val="0"/>
              <w:adjustRightInd/>
              <w:snapToGrid/>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洗涤干净的被服、布类应按照采购人的要求进行分类包装，包装物由</w:t>
            </w:r>
            <w:r>
              <w:rPr>
                <w:rFonts w:hint="eastAsia" w:ascii="Calibri" w:hAnsi="Calibri" w:eastAsia="宋体" w:cs="Times New Roman"/>
                <w:color w:val="auto"/>
                <w:sz w:val="21"/>
                <w:szCs w:val="21"/>
                <w:highlight w:val="none"/>
                <w:lang w:val="en-US" w:eastAsia="zh-CN"/>
              </w:rPr>
              <w:t>中标人</w:t>
            </w:r>
            <w:r>
              <w:rPr>
                <w:rFonts w:hint="eastAsia" w:ascii="宋体" w:hAnsi="宋体" w:eastAsia="宋体" w:cs="宋体"/>
                <w:color w:val="auto"/>
                <w:sz w:val="21"/>
                <w:szCs w:val="21"/>
                <w:highlight w:val="none"/>
                <w:lang w:val="en-US" w:eastAsia="zh-CN"/>
              </w:rPr>
              <w:t>免费提供。收送时间符合科室的要求（满分10分）</w:t>
            </w:r>
          </w:p>
        </w:tc>
        <w:tc>
          <w:tcPr>
            <w:tcW w:w="645" w:type="pct"/>
            <w:tcBorders>
              <w:top w:val="nil"/>
              <w:left w:val="nil"/>
              <w:bottom w:val="single" w:color="000000" w:sz="4" w:space="0"/>
              <w:right w:val="single" w:color="000000" w:sz="4" w:space="0"/>
            </w:tcBorders>
            <w:vAlign w:val="top"/>
          </w:tcPr>
          <w:p w14:paraId="4AFC73B0">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c>
          <w:tcPr>
            <w:tcW w:w="749" w:type="pct"/>
            <w:tcBorders>
              <w:top w:val="nil"/>
              <w:left w:val="nil"/>
              <w:bottom w:val="single" w:color="000000" w:sz="4" w:space="0"/>
              <w:right w:val="single" w:color="000000" w:sz="4" w:space="0"/>
            </w:tcBorders>
            <w:vAlign w:val="top"/>
          </w:tcPr>
          <w:p w14:paraId="42E7C3EE">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r>
      <w:tr w14:paraId="66E2C0F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88" w:type="pct"/>
            <w:tcBorders>
              <w:top w:val="nil"/>
              <w:left w:val="single" w:color="000000" w:sz="4" w:space="0"/>
              <w:bottom w:val="single" w:color="000000" w:sz="4" w:space="0"/>
              <w:right w:val="single" w:color="000000" w:sz="4" w:space="0"/>
            </w:tcBorders>
            <w:vAlign w:val="center"/>
          </w:tcPr>
          <w:p w14:paraId="48163D43">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379" w:type="pct"/>
            <w:vMerge w:val="continue"/>
            <w:tcBorders>
              <w:top w:val="nil"/>
              <w:left w:val="nil"/>
              <w:bottom w:val="single" w:color="000000" w:sz="4" w:space="0"/>
              <w:right w:val="single" w:color="000000" w:sz="4" w:space="0"/>
            </w:tcBorders>
          </w:tcPr>
          <w:p w14:paraId="0E0FD60D">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c>
          <w:tcPr>
            <w:tcW w:w="2836" w:type="pct"/>
            <w:tcBorders>
              <w:top w:val="nil"/>
              <w:left w:val="nil"/>
              <w:bottom w:val="single" w:color="000000" w:sz="4" w:space="0"/>
              <w:right w:val="single" w:color="000000" w:sz="4" w:space="0"/>
            </w:tcBorders>
            <w:vAlign w:val="center"/>
          </w:tcPr>
          <w:p w14:paraId="6EBD45EA">
            <w:pPr>
              <w:keepNext/>
              <w:keepLines/>
              <w:pageBreakBefore w:val="0"/>
              <w:widowControl/>
              <w:numPr>
                <w:ilvl w:val="0"/>
                <w:numId w:val="0"/>
              </w:numPr>
              <w:kinsoku/>
              <w:wordWrap/>
              <w:overflowPunct/>
              <w:topLinePunct w:val="0"/>
              <w:autoSpaceDE/>
              <w:autoSpaceDN/>
              <w:bidi w:val="0"/>
              <w:adjustRightInd/>
              <w:snapToGrid/>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衣物交接做到点清数量、看清规格、类型，准确记录（满分10分）</w:t>
            </w:r>
          </w:p>
        </w:tc>
        <w:tc>
          <w:tcPr>
            <w:tcW w:w="645" w:type="pct"/>
            <w:tcBorders>
              <w:top w:val="nil"/>
              <w:left w:val="nil"/>
              <w:bottom w:val="single" w:color="000000" w:sz="4" w:space="0"/>
              <w:right w:val="single" w:color="000000" w:sz="4" w:space="0"/>
            </w:tcBorders>
            <w:vAlign w:val="top"/>
          </w:tcPr>
          <w:p w14:paraId="0BE726F6">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c>
          <w:tcPr>
            <w:tcW w:w="749" w:type="pct"/>
            <w:tcBorders>
              <w:top w:val="nil"/>
              <w:left w:val="nil"/>
              <w:bottom w:val="single" w:color="000000" w:sz="4" w:space="0"/>
              <w:right w:val="single" w:color="000000" w:sz="4" w:space="0"/>
            </w:tcBorders>
            <w:vAlign w:val="top"/>
          </w:tcPr>
          <w:p w14:paraId="5635F650">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r>
      <w:tr w14:paraId="24EE06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04" w:type="pct"/>
            <w:gridSpan w:val="3"/>
            <w:tcBorders>
              <w:top w:val="nil"/>
              <w:left w:val="single" w:color="000000" w:sz="4" w:space="0"/>
              <w:bottom w:val="single" w:color="000000" w:sz="4" w:space="0"/>
              <w:right w:val="single" w:color="000000" w:sz="4" w:space="0"/>
            </w:tcBorders>
            <w:vAlign w:val="top"/>
          </w:tcPr>
          <w:p w14:paraId="35F3BC5E">
            <w:pPr>
              <w:keepNext/>
              <w:keepLines/>
              <w:pageBreakBefore w:val="0"/>
              <w:widowControl/>
              <w:numPr>
                <w:ilvl w:val="0"/>
                <w:numId w:val="0"/>
              </w:numPr>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实际得分</w:t>
            </w:r>
          </w:p>
        </w:tc>
        <w:tc>
          <w:tcPr>
            <w:tcW w:w="1395" w:type="pct"/>
            <w:gridSpan w:val="2"/>
            <w:tcBorders>
              <w:top w:val="nil"/>
              <w:left w:val="nil"/>
              <w:bottom w:val="single" w:color="000000" w:sz="4" w:space="0"/>
              <w:right w:val="single" w:color="000000" w:sz="4" w:space="0"/>
            </w:tcBorders>
            <w:vAlign w:val="top"/>
          </w:tcPr>
          <w:p w14:paraId="79A390C6">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p>
        </w:tc>
      </w:tr>
      <w:tr w14:paraId="61561A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00" w:type="pct"/>
            <w:gridSpan w:val="5"/>
            <w:tcBorders>
              <w:top w:val="nil"/>
              <w:left w:val="single" w:color="000000" w:sz="4" w:space="0"/>
              <w:bottom w:val="single" w:color="000000" w:sz="4" w:space="0"/>
              <w:right w:val="single" w:color="000000" w:sz="4" w:space="0"/>
            </w:tcBorders>
            <w:vAlign w:val="top"/>
          </w:tcPr>
          <w:p w14:paraId="16AF0602">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科室总体评价意见：</w:t>
            </w:r>
          </w:p>
        </w:tc>
      </w:tr>
      <w:tr w14:paraId="288231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00" w:type="pct"/>
            <w:gridSpan w:val="5"/>
            <w:tcBorders>
              <w:top w:val="nil"/>
              <w:left w:val="single" w:color="000000" w:sz="4" w:space="0"/>
              <w:bottom w:val="single" w:color="000000" w:sz="4" w:space="0"/>
              <w:right w:val="single" w:color="000000" w:sz="4" w:space="0"/>
            </w:tcBorders>
            <w:vAlign w:val="top"/>
          </w:tcPr>
          <w:p w14:paraId="0CB03DF3">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说明：采购人对中标人的日常服务评价按月进行考核，月度考核评分100为满分，其月度以每项考核标准进行扣分，低于70分为不合格，中标人月度考核不合格次数达到3次或以上的，采购人有权终止合同。</w:t>
            </w:r>
          </w:p>
        </w:tc>
      </w:tr>
    </w:tbl>
    <w:p w14:paraId="00C199B9">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1、★由采购人每月对中标人的服务质量进行监督考核（详见附表1《中山市南朗医院医疗洗涤采购项目月度考核评分表》），考核结果与当月的服务费挂钩，中标人应积极配合采购人的监督和考评，不得以任何理由拒绝或阻挠采购人的考核。</w:t>
      </w:r>
    </w:p>
    <w:p w14:paraId="64296409">
      <w:pPr>
        <w:keepNext/>
        <w:keepLines/>
        <w:pageBreakBefore w:val="0"/>
        <w:widowControl/>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2、★考评要求：考评总分为100分，考评分按实际考评得分计算。考核结果≥90分的，全额支付当月服务费；考核结果为85≤得分＜90分的，</w:t>
      </w:r>
      <w:r>
        <w:rPr>
          <w:rFonts w:hint="eastAsia" w:ascii="Calibri" w:hAnsi="Calibri" w:eastAsia="宋体" w:cs="Times New Roman"/>
          <w:color w:val="auto"/>
          <w:sz w:val="21"/>
          <w:szCs w:val="21"/>
          <w:highlight w:val="none"/>
          <w:lang w:val="en-US" w:eastAsia="zh-CN"/>
        </w:rPr>
        <w:t>中标人</w:t>
      </w:r>
      <w:r>
        <w:rPr>
          <w:rFonts w:hint="eastAsia" w:ascii="宋体" w:hAnsi="宋体" w:eastAsia="宋体" w:cs="宋体"/>
          <w:color w:val="auto"/>
          <w:sz w:val="21"/>
          <w:szCs w:val="21"/>
          <w:highlight w:val="none"/>
          <w:lang w:val="en-US" w:eastAsia="zh-CN"/>
        </w:rPr>
        <w:t>应对存在的问题限时整改，扣罚当月服务费的10%；考核结果为80≤得分＜85分的，扣罚当月服务费的20%；考核结果为70≤得分＜80分的，扣罚当月服务费的30%；考核结果为＜70分的，采购人有权拒绝支付当月服务费；如果</w:t>
      </w:r>
      <w:r>
        <w:rPr>
          <w:rFonts w:hint="eastAsia" w:ascii="Calibri" w:hAnsi="Calibri" w:eastAsia="宋体" w:cs="Times New Roman"/>
          <w:color w:val="auto"/>
          <w:sz w:val="21"/>
          <w:szCs w:val="21"/>
          <w:highlight w:val="none"/>
          <w:lang w:val="en-US" w:eastAsia="zh-CN"/>
        </w:rPr>
        <w:t>中标人</w:t>
      </w:r>
      <w:r>
        <w:rPr>
          <w:rFonts w:hint="eastAsia" w:ascii="宋体" w:hAnsi="宋体" w:eastAsia="宋体" w:cs="宋体"/>
          <w:color w:val="auto"/>
          <w:sz w:val="21"/>
          <w:szCs w:val="21"/>
          <w:highlight w:val="none"/>
          <w:lang w:val="en-US" w:eastAsia="zh-CN"/>
        </w:rPr>
        <w:t>出现3个月服务质量＜70分或因</w:t>
      </w:r>
      <w:r>
        <w:rPr>
          <w:rFonts w:hint="eastAsia" w:ascii="Calibri" w:hAnsi="Calibri" w:eastAsia="宋体" w:cs="Times New Roman"/>
          <w:color w:val="auto"/>
          <w:sz w:val="21"/>
          <w:szCs w:val="21"/>
          <w:highlight w:val="none"/>
          <w:lang w:val="en-US" w:eastAsia="zh-CN"/>
        </w:rPr>
        <w:t>中标人</w:t>
      </w:r>
      <w:r>
        <w:rPr>
          <w:rFonts w:hint="eastAsia" w:ascii="宋体" w:hAnsi="宋体" w:eastAsia="宋体" w:cs="宋体"/>
          <w:color w:val="auto"/>
          <w:sz w:val="21"/>
          <w:szCs w:val="21"/>
          <w:highlight w:val="none"/>
          <w:lang w:val="en-US" w:eastAsia="zh-CN"/>
        </w:rPr>
        <w:t>的责任发生安全事件且造成严重后果的，采购人有权提前终止合同且有权要求</w:t>
      </w:r>
      <w:r>
        <w:rPr>
          <w:rFonts w:hint="eastAsia" w:ascii="Calibri" w:hAnsi="Calibri" w:eastAsia="宋体" w:cs="Times New Roman"/>
          <w:color w:val="auto"/>
          <w:sz w:val="21"/>
          <w:szCs w:val="21"/>
          <w:highlight w:val="none"/>
          <w:lang w:val="en-US" w:eastAsia="zh-CN"/>
        </w:rPr>
        <w:t>中标人</w:t>
      </w:r>
      <w:r>
        <w:rPr>
          <w:rFonts w:hint="eastAsia" w:ascii="宋体" w:hAnsi="宋体" w:eastAsia="宋体" w:cs="宋体"/>
          <w:color w:val="auto"/>
          <w:sz w:val="21"/>
          <w:szCs w:val="21"/>
          <w:highlight w:val="none"/>
          <w:lang w:val="en-US" w:eastAsia="zh-CN"/>
        </w:rPr>
        <w:t>赔偿合同总金额的20%作为违约金。</w:t>
      </w:r>
    </w:p>
    <w:p w14:paraId="2D7F5BC4">
      <w:pPr>
        <w:rPr>
          <w:rFonts w:ascii="Calibri" w:hAnsi="Calibri" w:eastAsia="宋体" w:cs="Times New Roman"/>
          <w:color w:val="auto"/>
          <w:highlight w:val="none"/>
        </w:rPr>
      </w:pPr>
    </w:p>
    <w:p w14:paraId="78C49D90">
      <w:pPr>
        <w:rPr>
          <w:color w:val="auto"/>
          <w:highlight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8904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6F7893">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6F7893">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AD62DD"/>
    <w:rsid w:val="04EB5C44"/>
    <w:rsid w:val="05A10DA8"/>
    <w:rsid w:val="0E8365BA"/>
    <w:rsid w:val="0F514E77"/>
    <w:rsid w:val="161A69A3"/>
    <w:rsid w:val="18DC74EA"/>
    <w:rsid w:val="1D2D35A1"/>
    <w:rsid w:val="219C5BA9"/>
    <w:rsid w:val="243E1F8E"/>
    <w:rsid w:val="244D09FD"/>
    <w:rsid w:val="26151F5F"/>
    <w:rsid w:val="28DA3395"/>
    <w:rsid w:val="297B511D"/>
    <w:rsid w:val="2B033EA0"/>
    <w:rsid w:val="2BDC28EA"/>
    <w:rsid w:val="2F8E5F75"/>
    <w:rsid w:val="3468122E"/>
    <w:rsid w:val="369B3F26"/>
    <w:rsid w:val="38435EB8"/>
    <w:rsid w:val="3A5476B7"/>
    <w:rsid w:val="3BBD77CB"/>
    <w:rsid w:val="3C3433E7"/>
    <w:rsid w:val="3C9F4B00"/>
    <w:rsid w:val="3CBF5DED"/>
    <w:rsid w:val="3D5C3FB9"/>
    <w:rsid w:val="3F755DE4"/>
    <w:rsid w:val="401407FD"/>
    <w:rsid w:val="41E14722"/>
    <w:rsid w:val="435D7260"/>
    <w:rsid w:val="43BF458F"/>
    <w:rsid w:val="44C75D0B"/>
    <w:rsid w:val="48C84676"/>
    <w:rsid w:val="4A3710F0"/>
    <w:rsid w:val="4E4D3A48"/>
    <w:rsid w:val="51BF791D"/>
    <w:rsid w:val="54746462"/>
    <w:rsid w:val="58F60A9F"/>
    <w:rsid w:val="5C5E50E1"/>
    <w:rsid w:val="5EAD4DDD"/>
    <w:rsid w:val="5FFB5185"/>
    <w:rsid w:val="62335069"/>
    <w:rsid w:val="66CF713B"/>
    <w:rsid w:val="6C8113C9"/>
    <w:rsid w:val="6C8B48C0"/>
    <w:rsid w:val="6CAE3D2F"/>
    <w:rsid w:val="6CAF094D"/>
    <w:rsid w:val="6DF87AF7"/>
    <w:rsid w:val="702B4594"/>
    <w:rsid w:val="712C1BB8"/>
    <w:rsid w:val="7215767E"/>
    <w:rsid w:val="72543A25"/>
    <w:rsid w:val="73610B15"/>
    <w:rsid w:val="75687D2E"/>
    <w:rsid w:val="76481C00"/>
    <w:rsid w:val="783D3FD4"/>
    <w:rsid w:val="78763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autoRedefine/>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2218</Words>
  <Characters>2312</Characters>
  <Lines>0</Lines>
  <Paragraphs>0</Paragraphs>
  <TotalTime>1</TotalTime>
  <ScaleCrop>false</ScaleCrop>
  <LinksUpToDate>false</LinksUpToDate>
  <CharactersWithSpaces>2314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2026-08-24T03:21:00Z</dcterms:created>
  <dc:creator>Administrator</dc:creator>
  <cp:lastModifiedBy>何梓乐</cp:lastModifiedBy>
  <dcterms:modified xsi:type="dcterms:W3CDTF">2026-09-01T00:34:04Z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7F102D0FD68A4364821F64B62787BADD_13</vt:lpwstr>
  </property>
  <property fmtid="{D5CDD505-2E9C-101B-9397-08002B2CF9AE}" pid="4" name="KSOTemplateDocerSaveRecord">
    <vt:lpwstr>eyJoZGlkIjoiNjViODA5ZGE1MzVlNTU1YTM3ZGNkYTg0MWM1OTNjMjkifQ==</vt:lpwstr>
  </property>
</Properties>
</file>